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D2F10" w14:textId="3888EFE0" w:rsidR="00E301B3" w:rsidRDefault="00E301B3">
      <w:pPr>
        <w:tabs>
          <w:tab w:val="center" w:pos="4819"/>
          <w:tab w:val="right" w:pos="9071"/>
        </w:tabs>
        <w:overflowPunct w:val="0"/>
        <w:textAlignment w:val="baseline"/>
        <w:rPr>
          <w:rFonts w:ascii="HelveticaLT" w:hAnsi="HelveticaLT"/>
          <w:sz w:val="20"/>
          <w:lang w:val="en-GB"/>
        </w:rPr>
      </w:pPr>
    </w:p>
    <w:p w14:paraId="03BD2F11" w14:textId="77777777" w:rsidR="00E301B3" w:rsidRDefault="00E5153B">
      <w:pPr>
        <w:jc w:val="center"/>
        <w:rPr>
          <w:b/>
          <w:bCs/>
          <w:szCs w:val="24"/>
        </w:rPr>
      </w:pPr>
      <w:r>
        <w:rPr>
          <w:b/>
          <w:bCs/>
          <w:noProof/>
          <w:szCs w:val="24"/>
          <w:lang w:eastAsia="lt-LT"/>
        </w:rPr>
        <w:drawing>
          <wp:inline distT="0" distB="0" distL="0" distR="0" wp14:anchorId="03BD2FAC" wp14:editId="03BD2FAD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D2F12" w14:textId="77777777" w:rsidR="00E301B3" w:rsidRDefault="00E301B3">
      <w:pPr>
        <w:rPr>
          <w:sz w:val="2"/>
          <w:szCs w:val="2"/>
        </w:rPr>
      </w:pPr>
    </w:p>
    <w:p w14:paraId="03BD2F13" w14:textId="77777777" w:rsidR="00E301B3" w:rsidRDefault="00E301B3">
      <w:pPr>
        <w:ind w:firstLine="29"/>
        <w:jc w:val="center"/>
        <w:rPr>
          <w:b/>
          <w:bCs/>
          <w:szCs w:val="24"/>
        </w:rPr>
      </w:pPr>
    </w:p>
    <w:p w14:paraId="03BD2F14" w14:textId="77777777" w:rsidR="00E301B3" w:rsidRDefault="00E301B3">
      <w:pPr>
        <w:rPr>
          <w:sz w:val="2"/>
          <w:szCs w:val="2"/>
        </w:rPr>
      </w:pPr>
    </w:p>
    <w:p w14:paraId="03BD2F15" w14:textId="77777777" w:rsidR="00E301B3" w:rsidRDefault="00E5153B">
      <w:pPr>
        <w:jc w:val="center"/>
        <w:rPr>
          <w:sz w:val="28"/>
          <w:szCs w:val="24"/>
        </w:rPr>
      </w:pPr>
      <w:r>
        <w:rPr>
          <w:b/>
          <w:bCs/>
          <w:sz w:val="28"/>
          <w:szCs w:val="24"/>
        </w:rPr>
        <w:t>LIETUVOS RESPUBLIKOS ŠVIETIMO, MOKSLO IR SPORTO MINISTRAS</w:t>
      </w:r>
    </w:p>
    <w:p w14:paraId="03BD2F16" w14:textId="77777777" w:rsidR="00E301B3" w:rsidRDefault="00E301B3">
      <w:pPr>
        <w:rPr>
          <w:sz w:val="2"/>
          <w:szCs w:val="2"/>
        </w:rPr>
      </w:pPr>
    </w:p>
    <w:p w14:paraId="03BD2F17" w14:textId="77777777" w:rsidR="00E301B3" w:rsidRDefault="00E301B3">
      <w:pPr>
        <w:overflowPunct w:val="0"/>
        <w:jc w:val="center"/>
        <w:textAlignment w:val="baseline"/>
      </w:pPr>
    </w:p>
    <w:p w14:paraId="03BD2F18" w14:textId="77777777" w:rsidR="00E301B3" w:rsidRDefault="00E301B3">
      <w:pPr>
        <w:rPr>
          <w:sz w:val="2"/>
          <w:szCs w:val="2"/>
        </w:rPr>
      </w:pPr>
    </w:p>
    <w:p w14:paraId="03BD2F19" w14:textId="77777777" w:rsidR="00E301B3" w:rsidRDefault="00E5153B">
      <w:pPr>
        <w:overflowPunct w:val="0"/>
        <w:jc w:val="center"/>
        <w:textAlignment w:val="baseline"/>
        <w:rPr>
          <w:b/>
          <w:bCs/>
        </w:rPr>
      </w:pPr>
      <w:r>
        <w:rPr>
          <w:b/>
          <w:bCs/>
        </w:rPr>
        <w:t>ĮSAKYMAS</w:t>
      </w:r>
    </w:p>
    <w:p w14:paraId="03BD2F1A" w14:textId="77777777" w:rsidR="00E301B3" w:rsidRDefault="00E301B3">
      <w:pPr>
        <w:rPr>
          <w:sz w:val="2"/>
          <w:szCs w:val="2"/>
        </w:rPr>
      </w:pPr>
    </w:p>
    <w:p w14:paraId="03BD2F1B" w14:textId="77777777" w:rsidR="00E301B3" w:rsidRDefault="00E5153B">
      <w:pPr>
        <w:overflowPunct w:val="0"/>
        <w:jc w:val="center"/>
        <w:textAlignment w:val="baseline"/>
        <w:rPr>
          <w:b/>
          <w:bCs/>
          <w:caps/>
        </w:rPr>
      </w:pPr>
      <w:r>
        <w:rPr>
          <w:b/>
          <w:szCs w:val="22"/>
          <w:lang w:bidi="en-US"/>
        </w:rPr>
        <w:t>DĖL VALSTYBĖS BIUDŽETO LĖŠŲ, SKIRTŲ LIETUVOS RESPUBLIKOS MOKSLO IR STUDIJŲ INSTITUCIJOMS TARPTAUTINĖMS MAINŲ PROGRAMOMS VYKDYTI, NAUDOJIMO TVARKOS APRAŠO PATVIRTINIMO</w:t>
      </w:r>
      <w:r>
        <w:rPr>
          <w:b/>
          <w:bCs/>
        </w:rPr>
        <w:t xml:space="preserve"> </w:t>
      </w:r>
    </w:p>
    <w:p w14:paraId="03BD2F1C" w14:textId="77777777" w:rsidR="00E301B3" w:rsidRDefault="00E301B3">
      <w:pPr>
        <w:overflowPunct w:val="0"/>
        <w:jc w:val="center"/>
        <w:textAlignment w:val="baseline"/>
      </w:pPr>
    </w:p>
    <w:p w14:paraId="03BD2F1D" w14:textId="77777777" w:rsidR="00E301B3" w:rsidRDefault="00E301B3">
      <w:pPr>
        <w:rPr>
          <w:sz w:val="2"/>
          <w:szCs w:val="2"/>
        </w:rPr>
      </w:pPr>
    </w:p>
    <w:p w14:paraId="03BD2F1E" w14:textId="77777777" w:rsidR="00E301B3" w:rsidRDefault="00E5153B">
      <w:pPr>
        <w:keepNext/>
        <w:tabs>
          <w:tab w:val="left" w:pos="4927"/>
        </w:tabs>
        <w:overflowPunct w:val="0"/>
        <w:jc w:val="center"/>
        <w:textAlignment w:val="baseline"/>
        <w:outlineLvl w:val="2"/>
      </w:pPr>
      <w:r>
        <w:t>2019 m. kovo 28 d. Nr. V-340</w:t>
      </w:r>
    </w:p>
    <w:p w14:paraId="03BD2F1F" w14:textId="77777777" w:rsidR="00E301B3" w:rsidRDefault="00E5153B">
      <w:pPr>
        <w:overflowPunct w:val="0"/>
        <w:jc w:val="center"/>
        <w:textAlignment w:val="baseline"/>
        <w:rPr>
          <w:szCs w:val="24"/>
        </w:rPr>
      </w:pPr>
      <w:smartTag w:uri="urn:schemas-tilde-lv/tildestengine" w:element="firmas">
        <w:r>
          <w:rPr>
            <w:szCs w:val="24"/>
          </w:rPr>
          <w:t>Vilnius</w:t>
        </w:r>
      </w:smartTag>
    </w:p>
    <w:p w14:paraId="03BD2F20" w14:textId="77777777" w:rsidR="00E301B3" w:rsidRDefault="00E301B3">
      <w:pPr>
        <w:rPr>
          <w:sz w:val="2"/>
          <w:szCs w:val="2"/>
        </w:rPr>
      </w:pPr>
    </w:p>
    <w:p w14:paraId="03BD2F21" w14:textId="1F1E7DE9" w:rsidR="00E301B3" w:rsidRDefault="00E301B3">
      <w:pPr>
        <w:tabs>
          <w:tab w:val="center" w:pos="4819"/>
          <w:tab w:val="right" w:pos="9071"/>
        </w:tabs>
        <w:overflowPunct w:val="0"/>
        <w:textAlignment w:val="baseline"/>
        <w:rPr>
          <w:rFonts w:ascii="HelveticaLT" w:hAnsi="HelveticaLT"/>
          <w:sz w:val="20"/>
          <w:lang w:val="en-GB"/>
        </w:rPr>
      </w:pPr>
    </w:p>
    <w:p w14:paraId="03BD2F22" w14:textId="118A0837" w:rsidR="00E301B3" w:rsidRDefault="00E5153B">
      <w:pPr>
        <w:widowControl w:val="0"/>
        <w:ind w:right="117" w:firstLine="1367"/>
        <w:jc w:val="both"/>
        <w:rPr>
          <w:szCs w:val="24"/>
          <w:lang w:bidi="en-US"/>
        </w:rPr>
      </w:pPr>
      <w:r>
        <w:rPr>
          <w:szCs w:val="24"/>
          <w:lang w:bidi="en-US"/>
        </w:rPr>
        <w:t>Įgyvendindamas Valstybinės studijų, mokslinių tyrimų ir eksperimentinės (socialinės, kultūrinės) plėtros 2013–2020 metų plėtros programos 2019–2020 metų veiksmų plano, patvirtinto Lietuvos Respublikos švietimo,</w:t>
      </w:r>
      <w:r>
        <w:rPr>
          <w:spacing w:val="-5"/>
          <w:szCs w:val="24"/>
          <w:lang w:bidi="en-US"/>
        </w:rPr>
        <w:t xml:space="preserve"> </w:t>
      </w:r>
      <w:r>
        <w:rPr>
          <w:szCs w:val="24"/>
          <w:lang w:bidi="en-US"/>
        </w:rPr>
        <w:t xml:space="preserve">mokslo ir sporto ministro 2019 m. vasario 8 d. įsakymu Nr. V-110 „Dėl Valstybinės studijų, mokslinių tyrimų ir eksperimentinės (socialinės, kultūrinės) plėtros 2013–2020 metų plėtros programos 2019–2020 metų veiksmų plano patvirtinimo“, 1.3.1.3 ir 1.3.1.5  papunkčius, siekdamas užtikrinti Lietuvos Respublikos </w:t>
      </w:r>
      <w:r>
        <w:rPr>
          <w:spacing w:val="-3"/>
          <w:szCs w:val="24"/>
          <w:lang w:bidi="en-US"/>
        </w:rPr>
        <w:t xml:space="preserve">mokslo </w:t>
      </w:r>
      <w:r>
        <w:rPr>
          <w:spacing w:val="-5"/>
          <w:szCs w:val="24"/>
          <w:lang w:bidi="en-US"/>
        </w:rPr>
        <w:t xml:space="preserve">ir </w:t>
      </w:r>
      <w:r>
        <w:rPr>
          <w:szCs w:val="24"/>
          <w:lang w:bidi="en-US"/>
        </w:rPr>
        <w:t xml:space="preserve">studijų institucijų aktyvų dalyvavimą tarptautinėje aukštojo </w:t>
      </w:r>
      <w:r>
        <w:rPr>
          <w:spacing w:val="-3"/>
          <w:szCs w:val="24"/>
          <w:lang w:bidi="en-US"/>
        </w:rPr>
        <w:t xml:space="preserve">mokslo </w:t>
      </w:r>
      <w:r>
        <w:rPr>
          <w:szCs w:val="24"/>
          <w:lang w:bidi="en-US"/>
        </w:rPr>
        <w:t xml:space="preserve">veikloje </w:t>
      </w:r>
      <w:r>
        <w:rPr>
          <w:spacing w:val="-3"/>
          <w:szCs w:val="24"/>
          <w:lang w:bidi="en-US"/>
        </w:rPr>
        <w:t xml:space="preserve">ir </w:t>
      </w:r>
      <w:r>
        <w:rPr>
          <w:szCs w:val="24"/>
          <w:lang w:bidi="en-US"/>
        </w:rPr>
        <w:t>stiprinti ryšius su užsienio</w:t>
      </w:r>
      <w:r>
        <w:rPr>
          <w:spacing w:val="14"/>
          <w:szCs w:val="24"/>
          <w:lang w:bidi="en-US"/>
        </w:rPr>
        <w:t xml:space="preserve"> </w:t>
      </w:r>
      <w:r>
        <w:rPr>
          <w:szCs w:val="24"/>
          <w:lang w:bidi="en-US"/>
        </w:rPr>
        <w:t>lietuviais:</w:t>
      </w:r>
    </w:p>
    <w:p w14:paraId="03BD2F23" w14:textId="77777777" w:rsidR="00E301B3" w:rsidRDefault="00A13237">
      <w:pPr>
        <w:widowControl w:val="0"/>
        <w:tabs>
          <w:tab w:val="left" w:pos="1671"/>
        </w:tabs>
        <w:ind w:left="119" w:right="124" w:firstLine="1249"/>
        <w:jc w:val="both"/>
        <w:rPr>
          <w:szCs w:val="22"/>
          <w:lang w:bidi="en-US"/>
        </w:rPr>
      </w:pPr>
      <w:r w:rsidR="00E5153B">
        <w:rPr>
          <w:spacing w:val="-29"/>
          <w:szCs w:val="24"/>
          <w:lang w:val="en-US" w:bidi="en-US"/>
        </w:rPr>
        <w:t>1</w:t>
      </w:r>
      <w:r w:rsidR="00E5153B">
        <w:rPr>
          <w:spacing w:val="-29"/>
          <w:szCs w:val="24"/>
          <w:lang w:val="en-US" w:bidi="en-US"/>
        </w:rPr>
        <w:t>.</w:t>
      </w:r>
      <w:r w:rsidR="00E5153B">
        <w:rPr>
          <w:spacing w:val="-29"/>
          <w:szCs w:val="24"/>
          <w:lang w:val="en-US" w:bidi="en-US"/>
        </w:rPr>
        <w:tab/>
      </w:r>
      <w:r w:rsidR="00E5153B">
        <w:rPr>
          <w:szCs w:val="22"/>
          <w:lang w:bidi="en-US"/>
        </w:rPr>
        <w:t xml:space="preserve">T v i r t i n u Valstybės biudžeto lėšų, skirtų Lietuvos Respublikos </w:t>
      </w:r>
      <w:r w:rsidR="00E5153B">
        <w:rPr>
          <w:spacing w:val="-3"/>
          <w:szCs w:val="22"/>
          <w:lang w:bidi="en-US"/>
        </w:rPr>
        <w:t xml:space="preserve">mokslo ir  </w:t>
      </w:r>
      <w:r w:rsidR="00E5153B">
        <w:rPr>
          <w:szCs w:val="22"/>
          <w:lang w:bidi="en-US"/>
        </w:rPr>
        <w:t>studijų institucijoms tarptautinėms mainų programoms vykdyti, naudojimo tvarkos aprašą (pridedama).</w:t>
      </w:r>
    </w:p>
    <w:p w14:paraId="03BD2F24" w14:textId="77777777" w:rsidR="00E301B3" w:rsidRDefault="00A13237">
      <w:pPr>
        <w:widowControl w:val="0"/>
        <w:tabs>
          <w:tab w:val="left" w:pos="1671"/>
        </w:tabs>
        <w:ind w:left="119" w:right="130" w:firstLine="1249"/>
        <w:jc w:val="both"/>
        <w:rPr>
          <w:szCs w:val="22"/>
          <w:lang w:bidi="en-US"/>
        </w:rPr>
      </w:pPr>
      <w:r w:rsidR="00E5153B">
        <w:rPr>
          <w:spacing w:val="-29"/>
          <w:szCs w:val="24"/>
          <w:lang w:val="en-US" w:bidi="en-US"/>
        </w:rPr>
        <w:t>2</w:t>
      </w:r>
      <w:r w:rsidR="00E5153B">
        <w:rPr>
          <w:spacing w:val="-29"/>
          <w:szCs w:val="24"/>
          <w:lang w:val="en-US" w:bidi="en-US"/>
        </w:rPr>
        <w:t>.</w:t>
      </w:r>
      <w:r w:rsidR="00E5153B">
        <w:rPr>
          <w:spacing w:val="-29"/>
          <w:szCs w:val="24"/>
          <w:lang w:val="en-US" w:bidi="en-US"/>
        </w:rPr>
        <w:tab/>
      </w:r>
      <w:r w:rsidR="00E5153B">
        <w:rPr>
          <w:szCs w:val="22"/>
          <w:lang w:bidi="en-US"/>
        </w:rPr>
        <w:t xml:space="preserve">Į g a l i o j u </w:t>
      </w:r>
      <w:r w:rsidR="00E5153B">
        <w:rPr>
          <w:spacing w:val="-3"/>
          <w:szCs w:val="22"/>
          <w:lang w:bidi="en-US"/>
        </w:rPr>
        <w:t xml:space="preserve">Švietimo </w:t>
      </w:r>
      <w:r w:rsidR="00E5153B">
        <w:rPr>
          <w:szCs w:val="22"/>
          <w:lang w:bidi="en-US"/>
        </w:rPr>
        <w:t>mainų paramos fondą organizuoti tarptautinių mainų programų įgyvendinimą</w:t>
      </w:r>
      <w:r w:rsidR="00E5153B">
        <w:rPr>
          <w:spacing w:val="6"/>
          <w:szCs w:val="22"/>
          <w:lang w:bidi="en-US"/>
        </w:rPr>
        <w:t xml:space="preserve"> </w:t>
      </w:r>
      <w:r w:rsidR="00E5153B">
        <w:rPr>
          <w:szCs w:val="22"/>
          <w:lang w:bidi="en-US"/>
        </w:rPr>
        <w:t>Lietuvoje.</w:t>
      </w:r>
    </w:p>
    <w:p w14:paraId="03BD2F25" w14:textId="77777777" w:rsidR="00E301B3" w:rsidRDefault="00A13237">
      <w:pPr>
        <w:widowControl w:val="0"/>
        <w:tabs>
          <w:tab w:val="left" w:pos="1671"/>
        </w:tabs>
        <w:ind w:left="119" w:right="130" w:firstLine="1249"/>
        <w:jc w:val="both"/>
        <w:rPr>
          <w:szCs w:val="22"/>
          <w:lang w:bidi="en-US"/>
        </w:rPr>
      </w:pPr>
      <w:r w:rsidR="00E5153B">
        <w:rPr>
          <w:spacing w:val="-29"/>
          <w:szCs w:val="24"/>
          <w:lang w:val="en-US" w:bidi="en-US"/>
        </w:rPr>
        <w:t>3</w:t>
      </w:r>
      <w:r w:rsidR="00E5153B">
        <w:rPr>
          <w:spacing w:val="-29"/>
          <w:szCs w:val="24"/>
          <w:lang w:val="en-US" w:bidi="en-US"/>
        </w:rPr>
        <w:t>.</w:t>
      </w:r>
      <w:r w:rsidR="00E5153B">
        <w:rPr>
          <w:spacing w:val="-29"/>
          <w:szCs w:val="24"/>
          <w:lang w:val="en-US" w:bidi="en-US"/>
        </w:rPr>
        <w:tab/>
      </w:r>
      <w:r w:rsidR="00E5153B">
        <w:rPr>
          <w:szCs w:val="22"/>
          <w:lang w:bidi="en-US"/>
        </w:rPr>
        <w:t xml:space="preserve">N u s t a t a u, kad mokslo ir studijų institucijų projektams, kurie buvo pateikti Fondui iki šio įsakymo įsigaliojimo, valstybės biudžeto lėšos skiriamos vadovaujantis tuo metu galiojusia Valstybės biudžeto lėšų, skirtų Lietuvos Respublikos </w:t>
      </w:r>
      <w:r w:rsidR="00E5153B">
        <w:rPr>
          <w:spacing w:val="-3"/>
          <w:szCs w:val="22"/>
          <w:lang w:bidi="en-US"/>
        </w:rPr>
        <w:t xml:space="preserve">mokslo ir  </w:t>
      </w:r>
      <w:r w:rsidR="00E5153B">
        <w:rPr>
          <w:szCs w:val="22"/>
          <w:lang w:bidi="en-US"/>
        </w:rPr>
        <w:t>studijų institucijoms tarptautinėms mainų programoms vykdyti, naudojimo tvarka.</w:t>
      </w:r>
    </w:p>
    <w:p w14:paraId="03BD2F2A" w14:textId="79E1E7B4" w:rsidR="00E301B3" w:rsidRDefault="00A13237" w:rsidP="00E5153B">
      <w:pPr>
        <w:widowControl w:val="0"/>
        <w:tabs>
          <w:tab w:val="left" w:pos="1671"/>
        </w:tabs>
        <w:ind w:left="119" w:right="130" w:firstLine="1249"/>
        <w:jc w:val="both"/>
      </w:pPr>
      <w:r w:rsidR="00E5153B">
        <w:rPr>
          <w:spacing w:val="-29"/>
          <w:szCs w:val="24"/>
          <w:lang w:val="en-US" w:bidi="en-US"/>
        </w:rPr>
        <w:t>4</w:t>
      </w:r>
      <w:r w:rsidR="00E5153B">
        <w:rPr>
          <w:spacing w:val="-29"/>
          <w:szCs w:val="24"/>
          <w:lang w:val="en-US" w:bidi="en-US"/>
        </w:rPr>
        <w:t>.</w:t>
      </w:r>
      <w:r w:rsidR="00E5153B">
        <w:rPr>
          <w:spacing w:val="-29"/>
          <w:szCs w:val="24"/>
          <w:lang w:val="en-US" w:bidi="en-US"/>
        </w:rPr>
        <w:tab/>
      </w:r>
      <w:r w:rsidR="00E5153B">
        <w:rPr>
          <w:szCs w:val="22"/>
          <w:lang w:bidi="en-US"/>
        </w:rPr>
        <w:t xml:space="preserve">P r i p a ž į s t u netekusiu galios Lietuvos Respublikos švietimo </w:t>
      </w:r>
      <w:r w:rsidR="00E5153B">
        <w:rPr>
          <w:spacing w:val="-5"/>
          <w:szCs w:val="22"/>
          <w:lang w:bidi="en-US"/>
        </w:rPr>
        <w:t xml:space="preserve">ir </w:t>
      </w:r>
      <w:r w:rsidR="00E5153B">
        <w:rPr>
          <w:spacing w:val="-3"/>
          <w:szCs w:val="22"/>
          <w:lang w:bidi="en-US"/>
        </w:rPr>
        <w:t xml:space="preserve">mokslo </w:t>
      </w:r>
      <w:r w:rsidR="00E5153B">
        <w:rPr>
          <w:szCs w:val="22"/>
          <w:lang w:bidi="en-US"/>
        </w:rPr>
        <w:t xml:space="preserve">ministro 2018 m. balandžio 5 d. įsakymą Nr. V-321 „Dėl Valstybės biudžeto lėšų, skirtų Lietuvos </w:t>
      </w:r>
      <w:r w:rsidR="00E5153B">
        <w:rPr>
          <w:spacing w:val="-3"/>
          <w:szCs w:val="22"/>
          <w:lang w:bidi="en-US"/>
        </w:rPr>
        <w:t xml:space="preserve">mokslo ir </w:t>
      </w:r>
      <w:r w:rsidR="00E5153B">
        <w:rPr>
          <w:szCs w:val="22"/>
          <w:lang w:bidi="en-US"/>
        </w:rPr>
        <w:t xml:space="preserve">studijų institucijoms tarptautinėms </w:t>
      </w:r>
      <w:r w:rsidR="00E5153B">
        <w:rPr>
          <w:spacing w:val="-3"/>
          <w:szCs w:val="22"/>
          <w:lang w:bidi="en-US"/>
        </w:rPr>
        <w:t xml:space="preserve">mainų </w:t>
      </w:r>
      <w:r w:rsidR="00E5153B">
        <w:rPr>
          <w:szCs w:val="22"/>
          <w:lang w:bidi="en-US"/>
        </w:rPr>
        <w:t>programoms vykdyti, naudojimo tvarkos aprašo patvirtinimo“.</w:t>
      </w:r>
    </w:p>
    <w:p w14:paraId="03BD2F2B" w14:textId="77777777" w:rsidR="00E301B3" w:rsidRDefault="00A13237">
      <w:pPr>
        <w:rPr>
          <w:sz w:val="2"/>
          <w:szCs w:val="2"/>
        </w:rPr>
      </w:pPr>
    </w:p>
    <w:p w14:paraId="09A9E395" w14:textId="77777777" w:rsidR="00E5153B" w:rsidRDefault="00E5153B">
      <w:pPr>
        <w:tabs>
          <w:tab w:val="left" w:pos="5778"/>
        </w:tabs>
        <w:overflowPunct w:val="0"/>
        <w:textAlignment w:val="baseline"/>
      </w:pPr>
    </w:p>
    <w:p w14:paraId="0C5FF546" w14:textId="77777777" w:rsidR="00E5153B" w:rsidRDefault="00E5153B">
      <w:pPr>
        <w:tabs>
          <w:tab w:val="left" w:pos="5778"/>
        </w:tabs>
        <w:overflowPunct w:val="0"/>
        <w:textAlignment w:val="baseline"/>
      </w:pPr>
    </w:p>
    <w:p w14:paraId="5851374D" w14:textId="77777777" w:rsidR="00E5153B" w:rsidRDefault="00E5153B">
      <w:pPr>
        <w:tabs>
          <w:tab w:val="left" w:pos="5778"/>
        </w:tabs>
        <w:overflowPunct w:val="0"/>
        <w:textAlignment w:val="baseline"/>
      </w:pPr>
    </w:p>
    <w:p w14:paraId="03BD2F2E" w14:textId="6752CC28" w:rsidR="00E301B3" w:rsidRDefault="00E5153B" w:rsidP="00E5153B">
      <w:pPr>
        <w:tabs>
          <w:tab w:val="left" w:pos="5778"/>
        </w:tabs>
        <w:overflowPunct w:val="0"/>
        <w:textAlignment w:val="baseline"/>
        <w:rPr>
          <w:sz w:val="6"/>
          <w:szCs w:val="6"/>
        </w:rPr>
      </w:pPr>
      <w:r>
        <w:t>Švietimo, mokslo ir sporto ministras</w:t>
      </w:r>
      <w:r>
        <w:tab/>
      </w:r>
      <w:r>
        <w:tab/>
      </w:r>
      <w:r>
        <w:tab/>
        <w:t>Algirdas Monkevičius</w:t>
      </w:r>
    </w:p>
    <w:p w14:paraId="5D84881B" w14:textId="77777777" w:rsidR="00E5153B" w:rsidRDefault="00E5153B">
      <w:pPr>
        <w:widowControl w:val="0"/>
        <w:ind w:left="4801"/>
        <w:sectPr w:rsidR="00E5153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1138" w:right="562" w:bottom="284" w:left="1699" w:header="288" w:footer="720" w:gutter="0"/>
          <w:cols w:space="720"/>
          <w:noEndnote/>
          <w:titlePg/>
        </w:sectPr>
      </w:pPr>
    </w:p>
    <w:p w14:paraId="03BD2F2F" w14:textId="14034BED" w:rsidR="00E301B3" w:rsidRDefault="00E5153B">
      <w:pPr>
        <w:widowControl w:val="0"/>
        <w:ind w:left="4801"/>
        <w:rPr>
          <w:szCs w:val="24"/>
          <w:lang w:bidi="en-US"/>
        </w:rPr>
      </w:pPr>
      <w:r>
        <w:rPr>
          <w:szCs w:val="24"/>
          <w:lang w:bidi="en-US"/>
        </w:rPr>
        <w:lastRenderedPageBreak/>
        <w:t>PATVIRTINTA</w:t>
      </w:r>
    </w:p>
    <w:p w14:paraId="05A7B24D" w14:textId="77777777" w:rsidR="00A13237" w:rsidRDefault="00E5153B">
      <w:pPr>
        <w:widowControl w:val="0"/>
        <w:spacing w:line="235" w:lineRule="auto"/>
        <w:ind w:left="4801" w:right="262"/>
        <w:rPr>
          <w:szCs w:val="24"/>
          <w:lang w:bidi="en-US"/>
        </w:rPr>
      </w:pPr>
      <w:r>
        <w:rPr>
          <w:szCs w:val="24"/>
          <w:lang w:bidi="en-US"/>
        </w:rPr>
        <w:t xml:space="preserve">Lietuvos Respublikos švietimo, mokslo ir </w:t>
      </w:r>
    </w:p>
    <w:p w14:paraId="03BD2F30" w14:textId="0D6FEDAC" w:rsidR="00E301B3" w:rsidRDefault="00E5153B">
      <w:pPr>
        <w:widowControl w:val="0"/>
        <w:spacing w:line="235" w:lineRule="auto"/>
        <w:ind w:left="4801" w:right="262"/>
        <w:rPr>
          <w:szCs w:val="24"/>
          <w:lang w:bidi="en-US"/>
        </w:rPr>
      </w:pPr>
      <w:r>
        <w:rPr>
          <w:szCs w:val="24"/>
          <w:lang w:bidi="en-US"/>
        </w:rPr>
        <w:t>sporto ministro</w:t>
      </w:r>
    </w:p>
    <w:p w14:paraId="03BD2F31" w14:textId="77777777" w:rsidR="00E301B3" w:rsidRDefault="00E5153B">
      <w:pPr>
        <w:widowControl w:val="0"/>
        <w:spacing w:line="235" w:lineRule="auto"/>
        <w:ind w:left="4801" w:right="262"/>
        <w:rPr>
          <w:szCs w:val="24"/>
          <w:lang w:bidi="en-US"/>
        </w:rPr>
      </w:pPr>
      <w:r>
        <w:rPr>
          <w:szCs w:val="24"/>
          <w:lang w:bidi="en-US"/>
        </w:rPr>
        <w:t>2019 m. kovo 28 d. įsakymu Nr. V-340</w:t>
      </w:r>
    </w:p>
    <w:p w14:paraId="03BD2F32" w14:textId="77777777" w:rsidR="00E301B3" w:rsidRDefault="00E301B3">
      <w:pPr>
        <w:widowControl w:val="0"/>
        <w:rPr>
          <w:szCs w:val="24"/>
          <w:lang w:bidi="en-US"/>
        </w:rPr>
      </w:pPr>
    </w:p>
    <w:p w14:paraId="03BD2F33" w14:textId="77777777" w:rsidR="00E301B3" w:rsidRDefault="00A13237">
      <w:pPr>
        <w:widowControl w:val="0"/>
        <w:ind w:left="494" w:right="502"/>
        <w:jc w:val="center"/>
        <w:rPr>
          <w:b/>
          <w:bCs/>
          <w:szCs w:val="24"/>
          <w:lang w:bidi="en-US"/>
        </w:rPr>
      </w:pPr>
      <w:r w:rsidR="00E5153B">
        <w:rPr>
          <w:b/>
          <w:bCs/>
          <w:szCs w:val="24"/>
          <w:lang w:bidi="en-US"/>
        </w:rPr>
        <w:t>VALSTYBĖS BIUDŽETO LĖŠŲ, SKIRTŲ LIETUVOS RESPUBIKOS MOKSLO IR STUDIJŲ INSTITUCIJOMS TARPTAUTINĖMS MAINŲ PROGRAMOMS VYKDYTI, NAUDOJIMO TVARKOS APRAŠAS</w:t>
      </w:r>
    </w:p>
    <w:p w14:paraId="03BD2F34" w14:textId="77777777" w:rsidR="00E301B3" w:rsidRDefault="00E301B3">
      <w:pPr>
        <w:widowControl w:val="0"/>
        <w:rPr>
          <w:b/>
          <w:szCs w:val="24"/>
          <w:lang w:bidi="en-US"/>
        </w:rPr>
      </w:pPr>
    </w:p>
    <w:p w14:paraId="03BD2F35" w14:textId="77777777" w:rsidR="00E301B3" w:rsidRDefault="00A13237">
      <w:pPr>
        <w:widowControl w:val="0"/>
        <w:jc w:val="center"/>
        <w:rPr>
          <w:b/>
          <w:szCs w:val="24"/>
          <w:lang w:bidi="en-US"/>
        </w:rPr>
      </w:pPr>
      <w:r w:rsidR="00E5153B">
        <w:rPr>
          <w:b/>
          <w:szCs w:val="24"/>
          <w:lang w:bidi="en-US"/>
        </w:rPr>
        <w:t>I</w:t>
      </w:r>
      <w:r w:rsidR="00E5153B">
        <w:rPr>
          <w:b/>
          <w:szCs w:val="24"/>
          <w:lang w:bidi="en-US"/>
        </w:rPr>
        <w:t xml:space="preserve"> SKYRIUS</w:t>
      </w:r>
    </w:p>
    <w:p w14:paraId="03BD2F36" w14:textId="77777777" w:rsidR="00E301B3" w:rsidRDefault="00A13237">
      <w:pPr>
        <w:widowControl w:val="0"/>
        <w:jc w:val="center"/>
        <w:rPr>
          <w:b/>
          <w:szCs w:val="24"/>
          <w:lang w:bidi="en-US"/>
        </w:rPr>
      </w:pPr>
      <w:r w:rsidR="00E5153B">
        <w:rPr>
          <w:b/>
          <w:szCs w:val="24"/>
          <w:lang w:bidi="en-US"/>
        </w:rPr>
        <w:t>BENDROSIOS NUOSTATOS</w:t>
      </w:r>
    </w:p>
    <w:p w14:paraId="03BD2F37" w14:textId="77777777" w:rsidR="00E301B3" w:rsidRDefault="00E301B3">
      <w:pPr>
        <w:widowControl w:val="0"/>
        <w:rPr>
          <w:b/>
          <w:sz w:val="23"/>
          <w:szCs w:val="24"/>
          <w:lang w:bidi="en-US"/>
        </w:rPr>
      </w:pPr>
    </w:p>
    <w:p w14:paraId="03BD2F38" w14:textId="77777777" w:rsidR="00E301B3" w:rsidRDefault="00A13237" w:rsidP="00E5153B">
      <w:pPr>
        <w:tabs>
          <w:tab w:val="left" w:pos="932"/>
        </w:tabs>
        <w:ind w:left="119" w:right="123" w:firstLine="567"/>
        <w:jc w:val="both"/>
      </w:pPr>
      <w:r w:rsidR="00E5153B">
        <w:rPr>
          <w:szCs w:val="24"/>
          <w:lang w:val="en-US" w:bidi="en-US"/>
        </w:rPr>
        <w:t>1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 xml:space="preserve">Valstybės biudžeto lėšų, skirtų Lietuvos Respublikos mokslo </w:t>
      </w:r>
      <w:r w:rsidR="00E5153B">
        <w:rPr>
          <w:spacing w:val="-5"/>
        </w:rPr>
        <w:t xml:space="preserve">ir </w:t>
      </w:r>
      <w:r w:rsidR="00E5153B">
        <w:t xml:space="preserve">studijų institucijoms tarptautinėms mainų programoms vykdyti, naudojimo tvarkos aprašas (toliau – Aprašas) reglamentuoja Lietuvos Respublikos </w:t>
      </w:r>
      <w:r w:rsidR="00E5153B">
        <w:rPr>
          <w:spacing w:val="-3"/>
        </w:rPr>
        <w:t xml:space="preserve">mokslo </w:t>
      </w:r>
      <w:r w:rsidR="00E5153B">
        <w:rPr>
          <w:spacing w:val="-5"/>
        </w:rPr>
        <w:t xml:space="preserve">ir </w:t>
      </w:r>
      <w:r w:rsidR="00E5153B">
        <w:t>studijų institucijoms (toliau – Institucijos), dalyvaujančioms Europos Sąjungos „</w:t>
      </w:r>
      <w:proofErr w:type="spellStart"/>
      <w:r w:rsidR="00E5153B">
        <w:t>Erasmus</w:t>
      </w:r>
      <w:proofErr w:type="spellEnd"/>
      <w:r w:rsidR="00E5153B">
        <w:t xml:space="preserve">+“ aukštojo </w:t>
      </w:r>
      <w:r w:rsidR="00E5153B">
        <w:rPr>
          <w:spacing w:val="-3"/>
        </w:rPr>
        <w:t xml:space="preserve">mokslo </w:t>
      </w:r>
      <w:r w:rsidR="00E5153B">
        <w:t>sektoriaus programos (toliau – „</w:t>
      </w:r>
      <w:proofErr w:type="spellStart"/>
      <w:r w:rsidR="00E5153B">
        <w:t>Erasmus</w:t>
      </w:r>
      <w:proofErr w:type="spellEnd"/>
      <w:r w:rsidR="00E5153B">
        <w:t>+“ programa), Šiaurės ministrų tarybos „</w:t>
      </w:r>
      <w:proofErr w:type="spellStart"/>
      <w:r w:rsidR="00E5153B">
        <w:t>Nordplus</w:t>
      </w:r>
      <w:proofErr w:type="spellEnd"/>
      <w:r w:rsidR="00E5153B">
        <w:t xml:space="preserve"> </w:t>
      </w:r>
      <w:proofErr w:type="spellStart"/>
      <w:r w:rsidR="00E5153B">
        <w:t>Higher</w:t>
      </w:r>
      <w:proofErr w:type="spellEnd"/>
      <w:r w:rsidR="00E5153B">
        <w:t xml:space="preserve"> </w:t>
      </w:r>
      <w:proofErr w:type="spellStart"/>
      <w:r w:rsidR="00E5153B">
        <w:t>Education</w:t>
      </w:r>
      <w:proofErr w:type="spellEnd"/>
      <w:r w:rsidR="00E5153B">
        <w:t>“ programos (toliau – „</w:t>
      </w:r>
      <w:proofErr w:type="spellStart"/>
      <w:r w:rsidR="00E5153B">
        <w:t>Nordplus</w:t>
      </w:r>
      <w:proofErr w:type="spellEnd"/>
      <w:r w:rsidR="00E5153B">
        <w:t>“ programa), tarptautinių studentų praktikų užsienio mokyklose, kuriose mokoma lietuvių kalba arba lietuvių kalbos (toliau – lituanistinės mokyklos), bei akredituotų jungtinių studijų programų, vykdomų Institucijų kartu su užsienio valstybės (-</w:t>
      </w:r>
      <w:proofErr w:type="spellStart"/>
      <w:r w:rsidR="00E5153B">
        <w:t>ių</w:t>
      </w:r>
      <w:proofErr w:type="spellEnd"/>
      <w:r w:rsidR="00E5153B">
        <w:t xml:space="preserve">) aukštosiomis mokyklomis (toliau – tarptautinės jungtinės studijų programos), akademinio mobilumo (toliau visos – tarptautinės mainų programos) veiklose, skirtų Lietuvos Respublikos valstybės biudžeto </w:t>
      </w:r>
      <w:r w:rsidR="00E5153B">
        <w:rPr>
          <w:spacing w:val="-4"/>
        </w:rPr>
        <w:t xml:space="preserve">lėšų </w:t>
      </w:r>
      <w:r w:rsidR="00E5153B">
        <w:t xml:space="preserve">(toliau – Nacionalinės lėšos) </w:t>
      </w:r>
      <w:r w:rsidR="00E5153B">
        <w:rPr>
          <w:spacing w:val="-5"/>
        </w:rPr>
        <w:t xml:space="preserve">ir </w:t>
      </w:r>
      <w:r w:rsidR="00E5153B">
        <w:t xml:space="preserve">Europos Sąjungos struktūrinių fondų lėšų (toliau – ESF </w:t>
      </w:r>
      <w:r w:rsidR="00E5153B">
        <w:rPr>
          <w:spacing w:val="-3"/>
        </w:rPr>
        <w:t xml:space="preserve">lėšos) </w:t>
      </w:r>
      <w:r w:rsidR="00E5153B">
        <w:t xml:space="preserve">(toliau visos lėšos kartu – valstybės biudžeto </w:t>
      </w:r>
      <w:r w:rsidR="00E5153B">
        <w:rPr>
          <w:spacing w:val="-3"/>
        </w:rPr>
        <w:t xml:space="preserve">lėšos) </w:t>
      </w:r>
      <w:r w:rsidR="00E5153B">
        <w:t xml:space="preserve">naudojimo </w:t>
      </w:r>
      <w:r w:rsidR="00E5153B">
        <w:rPr>
          <w:spacing w:val="-5"/>
        </w:rPr>
        <w:t xml:space="preserve">ir </w:t>
      </w:r>
      <w:r w:rsidR="00E5153B">
        <w:t xml:space="preserve">atsiskaitymo už skirtas </w:t>
      </w:r>
      <w:r w:rsidR="00E5153B">
        <w:rPr>
          <w:spacing w:val="-2"/>
        </w:rPr>
        <w:t>lėšas</w:t>
      </w:r>
      <w:r w:rsidR="00E5153B">
        <w:rPr>
          <w:spacing w:val="37"/>
        </w:rPr>
        <w:t xml:space="preserve"> </w:t>
      </w:r>
      <w:r w:rsidR="00E5153B">
        <w:t>tvarką.</w:t>
      </w:r>
    </w:p>
    <w:p w14:paraId="03BD2F39" w14:textId="77777777" w:rsidR="00E301B3" w:rsidRDefault="00A13237" w:rsidP="00E5153B">
      <w:pPr>
        <w:tabs>
          <w:tab w:val="left" w:pos="989"/>
        </w:tabs>
        <w:ind w:left="119" w:right="124" w:firstLine="567"/>
        <w:jc w:val="both"/>
      </w:pPr>
      <w:r w:rsidR="00E5153B">
        <w:rPr>
          <w:szCs w:val="24"/>
          <w:lang w:val="en-US" w:bidi="en-US"/>
        </w:rPr>
        <w:t>2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>Nacionalinės lėšos skiriamos Šviet</w:t>
      </w:r>
      <w:r w:rsidR="00E5153B">
        <w:rPr>
          <w:spacing w:val="-5"/>
        </w:rPr>
        <w:t xml:space="preserve">imo </w:t>
      </w:r>
      <w:r w:rsidR="00E5153B">
        <w:rPr>
          <w:spacing w:val="-3"/>
        </w:rPr>
        <w:t xml:space="preserve">mainų  </w:t>
      </w:r>
      <w:r w:rsidR="00E5153B">
        <w:t xml:space="preserve">paramos fondui (toliau – Fondas) pagal </w:t>
      </w:r>
      <w:r w:rsidR="00E5153B">
        <w:rPr>
          <w:spacing w:val="-3"/>
        </w:rPr>
        <w:t xml:space="preserve">lėšų </w:t>
      </w:r>
      <w:r w:rsidR="00E5153B">
        <w:t>naudojimo sutartį su Lietuvos Respublikos švietimo</w:t>
      </w:r>
      <w:r w:rsidR="00E5153B">
        <w:rPr>
          <w:spacing w:val="-5"/>
        </w:rPr>
        <w:t xml:space="preserve">, </w:t>
      </w:r>
      <w:r w:rsidR="00E5153B">
        <w:rPr>
          <w:spacing w:val="-3"/>
        </w:rPr>
        <w:t xml:space="preserve">mokslo ir sporto </w:t>
      </w:r>
      <w:r w:rsidR="00E5153B">
        <w:t>ministerija.</w:t>
      </w:r>
    </w:p>
    <w:p w14:paraId="03BD2F3A" w14:textId="77777777" w:rsidR="00E301B3" w:rsidRDefault="00A13237" w:rsidP="00E5153B">
      <w:pPr>
        <w:tabs>
          <w:tab w:val="left" w:pos="941"/>
        </w:tabs>
        <w:ind w:left="119" w:right="123" w:firstLine="567"/>
        <w:jc w:val="both"/>
      </w:pPr>
      <w:r w:rsidR="00E5153B">
        <w:rPr>
          <w:szCs w:val="24"/>
          <w:lang w:val="en-US" w:bidi="en-US"/>
        </w:rPr>
        <w:t>3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>ESF lėšos skirtos Fondui Lietuvos Respublikos švietimo</w:t>
      </w:r>
      <w:r w:rsidR="00E5153B">
        <w:rPr>
          <w:spacing w:val="-5"/>
        </w:rPr>
        <w:t xml:space="preserve">, </w:t>
      </w:r>
      <w:r w:rsidR="00E5153B">
        <w:rPr>
          <w:spacing w:val="-3"/>
        </w:rPr>
        <w:t xml:space="preserve">mokslo ir sporto </w:t>
      </w:r>
      <w:r w:rsidR="00E5153B">
        <w:t xml:space="preserve">ministro </w:t>
      </w:r>
      <w:r w:rsidR="00E5153B">
        <w:rPr>
          <w:spacing w:val="-3"/>
        </w:rPr>
        <w:t xml:space="preserve">įsakymu </w:t>
      </w:r>
      <w:r w:rsidR="00E5153B">
        <w:t>pagal Valstybės projektų atrankos tvarkos aprašą, patvirtintą Lietuvos Respublikos švietimo,</w:t>
      </w:r>
      <w:r w:rsidR="00E5153B">
        <w:rPr>
          <w:spacing w:val="-5"/>
        </w:rPr>
        <w:t xml:space="preserve"> </w:t>
      </w:r>
      <w:r w:rsidR="00E5153B">
        <w:t xml:space="preserve">mokslo ir sporto ministro 2014 </w:t>
      </w:r>
      <w:r w:rsidR="00E5153B">
        <w:rPr>
          <w:spacing w:val="-5"/>
        </w:rPr>
        <w:t xml:space="preserve">m. </w:t>
      </w:r>
      <w:r w:rsidR="00E5153B">
        <w:t xml:space="preserve">gruodžio 16 d. </w:t>
      </w:r>
      <w:r w:rsidR="00E5153B">
        <w:rPr>
          <w:spacing w:val="-3"/>
        </w:rPr>
        <w:t xml:space="preserve">įsakymu </w:t>
      </w:r>
      <w:r w:rsidR="00E5153B">
        <w:t>Nr. V-1219 „Dėl Valstybės projektų atrankos tvarkos aprašo</w:t>
      </w:r>
      <w:r w:rsidR="00E5153B">
        <w:rPr>
          <w:spacing w:val="5"/>
        </w:rPr>
        <w:t xml:space="preserve"> </w:t>
      </w:r>
      <w:r w:rsidR="00E5153B">
        <w:t>patvirtinimo“.</w:t>
      </w:r>
    </w:p>
    <w:p w14:paraId="03BD2F3B" w14:textId="77777777" w:rsidR="00E301B3" w:rsidRDefault="00A13237" w:rsidP="00E5153B">
      <w:pPr>
        <w:tabs>
          <w:tab w:val="left" w:pos="932"/>
        </w:tabs>
        <w:ind w:left="119" w:right="128" w:firstLine="567"/>
        <w:jc w:val="both"/>
      </w:pPr>
      <w:r w:rsidR="00E5153B">
        <w:rPr>
          <w:szCs w:val="24"/>
          <w:lang w:val="en-US" w:bidi="en-US"/>
        </w:rPr>
        <w:t>4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>Fondo direktorius, atsižvelgęs į Fondo direktoriaus įsakymu patvirtintos „</w:t>
      </w:r>
      <w:proofErr w:type="spellStart"/>
      <w:r w:rsidR="00E5153B">
        <w:t>Erasmus</w:t>
      </w:r>
      <w:proofErr w:type="spellEnd"/>
      <w:r w:rsidR="00E5153B">
        <w:t xml:space="preserve">+“ </w:t>
      </w:r>
      <w:r w:rsidR="00E5153B">
        <w:rPr>
          <w:spacing w:val="-5"/>
        </w:rPr>
        <w:t xml:space="preserve">ir </w:t>
      </w:r>
      <w:r w:rsidR="00E5153B">
        <w:t xml:space="preserve">kitų tarptautinių mainų programų atrankos komisijos siūlymus, patvirtina valstybės biudžeto </w:t>
      </w:r>
      <w:r w:rsidR="00E5153B">
        <w:rPr>
          <w:spacing w:val="-5"/>
        </w:rPr>
        <w:t xml:space="preserve">ir </w:t>
      </w:r>
      <w:r w:rsidR="00E5153B">
        <w:t>ESF lėšų paskirstymą Institucijoms.</w:t>
      </w:r>
    </w:p>
    <w:p w14:paraId="03BD2F3C" w14:textId="77777777" w:rsidR="00E301B3" w:rsidRDefault="00A13237" w:rsidP="00E5153B">
      <w:pPr>
        <w:tabs>
          <w:tab w:val="left" w:pos="960"/>
        </w:tabs>
        <w:ind w:left="119" w:right="136" w:firstLine="567"/>
        <w:jc w:val="both"/>
      </w:pPr>
      <w:r w:rsidR="00E5153B">
        <w:rPr>
          <w:szCs w:val="24"/>
          <w:lang w:val="en-US" w:bidi="en-US"/>
        </w:rPr>
        <w:t>5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>Valstybės biudžeto lėšos Institucijoms pervedamos pasirašius sutartis su Fondu sutartyse nustatyta tvarka.</w:t>
      </w:r>
    </w:p>
    <w:p w14:paraId="03BD2F3D" w14:textId="77777777" w:rsidR="00E301B3" w:rsidRDefault="00A13237" w:rsidP="00E5153B">
      <w:pPr>
        <w:tabs>
          <w:tab w:val="left" w:pos="931"/>
        </w:tabs>
        <w:spacing w:line="271" w:lineRule="exact"/>
        <w:ind w:left="930" w:hanging="244"/>
        <w:jc w:val="both"/>
      </w:pPr>
      <w:r w:rsidR="00E5153B">
        <w:rPr>
          <w:szCs w:val="24"/>
          <w:lang w:val="en-US" w:bidi="en-US"/>
        </w:rPr>
        <w:t>6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>Nacionalinės lėšos gali būti skiriamos šioms veiklos</w:t>
      </w:r>
      <w:r w:rsidR="00E5153B">
        <w:rPr>
          <w:spacing w:val="-10"/>
        </w:rPr>
        <w:t xml:space="preserve"> </w:t>
      </w:r>
      <w:r w:rsidR="00E5153B">
        <w:t>sritims:</w:t>
      </w:r>
    </w:p>
    <w:p w14:paraId="03BD2F3E" w14:textId="77777777" w:rsidR="00E301B3" w:rsidRDefault="00A13237" w:rsidP="00E5153B">
      <w:pPr>
        <w:tabs>
          <w:tab w:val="left" w:pos="1114"/>
        </w:tabs>
        <w:ind w:left="119" w:right="120" w:firstLine="567"/>
        <w:jc w:val="both"/>
      </w:pPr>
      <w:r w:rsidR="00E5153B">
        <w:rPr>
          <w:szCs w:val="24"/>
          <w:lang w:val="en-US" w:bidi="en-US"/>
        </w:rPr>
        <w:t>6.1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 xml:space="preserve">Institucijų studentų, vykstančių studijuoti arba atlikti praktiką į užsienio valstybės </w:t>
      </w:r>
      <w:r w:rsidR="00E5153B">
        <w:rPr>
          <w:spacing w:val="-3"/>
        </w:rPr>
        <w:t xml:space="preserve">mokslo ir </w:t>
      </w:r>
      <w:r w:rsidR="00E5153B">
        <w:t>studijų institucijas arba užsienio įmones pagal „</w:t>
      </w:r>
      <w:proofErr w:type="spellStart"/>
      <w:r w:rsidR="00E5153B">
        <w:t>Erasmus</w:t>
      </w:r>
      <w:proofErr w:type="spellEnd"/>
      <w:r w:rsidR="00E5153B">
        <w:t>+“ programą, absolventų, vykstančių atlikti praktiką į užsienio įmones pagal „</w:t>
      </w:r>
      <w:proofErr w:type="spellStart"/>
      <w:r w:rsidR="00E5153B">
        <w:t>Erasmus</w:t>
      </w:r>
      <w:proofErr w:type="spellEnd"/>
      <w:r w:rsidR="00E5153B">
        <w:t>+“ programą, stipendijoms (toliau – „</w:t>
      </w:r>
      <w:proofErr w:type="spellStart"/>
      <w:r w:rsidR="00E5153B">
        <w:t>Erasmus</w:t>
      </w:r>
      <w:proofErr w:type="spellEnd"/>
      <w:r w:rsidR="00E5153B">
        <w:t>+“ studentų stipendijos)</w:t>
      </w:r>
      <w:r w:rsidR="00E5153B">
        <w:rPr>
          <w:spacing w:val="9"/>
        </w:rPr>
        <w:t xml:space="preserve"> </w:t>
      </w:r>
      <w:r w:rsidR="00E5153B">
        <w:t>mokėti;</w:t>
      </w:r>
    </w:p>
    <w:p w14:paraId="03BD2F3F" w14:textId="77777777" w:rsidR="00E301B3" w:rsidRDefault="00A13237" w:rsidP="00E5153B">
      <w:pPr>
        <w:tabs>
          <w:tab w:val="left" w:pos="1114"/>
        </w:tabs>
        <w:ind w:left="119" w:right="120" w:firstLine="567"/>
        <w:jc w:val="both"/>
      </w:pPr>
      <w:r w:rsidR="00E5153B">
        <w:rPr>
          <w:szCs w:val="24"/>
          <w:lang w:val="en-US" w:bidi="en-US"/>
        </w:rPr>
        <w:t>6.2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 xml:space="preserve">Institucijų studentų, vykstančių studijuoti arba atlikti praktiką į užsienio valstybės </w:t>
      </w:r>
      <w:r w:rsidR="00E5153B">
        <w:rPr>
          <w:spacing w:val="-3"/>
        </w:rPr>
        <w:t xml:space="preserve">mokslo ir </w:t>
      </w:r>
      <w:r w:rsidR="00E5153B">
        <w:t>studijų institucijas arba užsienio įmones pagal „</w:t>
      </w:r>
      <w:proofErr w:type="spellStart"/>
      <w:r w:rsidR="00E5153B">
        <w:t>Nordplus</w:t>
      </w:r>
      <w:proofErr w:type="spellEnd"/>
      <w:r w:rsidR="00E5153B">
        <w:t>“ programą stipendijoms (toliau – „</w:t>
      </w:r>
      <w:proofErr w:type="spellStart"/>
      <w:r w:rsidR="00E5153B">
        <w:t>Nordplus</w:t>
      </w:r>
      <w:proofErr w:type="spellEnd"/>
      <w:r w:rsidR="00E5153B">
        <w:t>“ studentų</w:t>
      </w:r>
      <w:r w:rsidR="00E5153B">
        <w:rPr>
          <w:spacing w:val="1"/>
        </w:rPr>
        <w:t xml:space="preserve"> </w:t>
      </w:r>
      <w:r w:rsidR="00E5153B">
        <w:t>stipendijos) mokėti;</w:t>
      </w:r>
    </w:p>
    <w:p w14:paraId="03BD2F40" w14:textId="77777777" w:rsidR="00E301B3" w:rsidRDefault="00A13237" w:rsidP="00E5153B">
      <w:pPr>
        <w:tabs>
          <w:tab w:val="left" w:pos="1152"/>
        </w:tabs>
        <w:ind w:left="119" w:right="139" w:firstLine="567"/>
        <w:jc w:val="both"/>
      </w:pPr>
      <w:r w:rsidR="00E5153B">
        <w:rPr>
          <w:szCs w:val="24"/>
          <w:lang w:val="en-US" w:bidi="en-US"/>
        </w:rPr>
        <w:t>6.3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 xml:space="preserve">Institucijų studentų </w:t>
      </w:r>
      <w:r w:rsidR="00E5153B">
        <w:rPr>
          <w:spacing w:val="-5"/>
        </w:rPr>
        <w:t xml:space="preserve">ir </w:t>
      </w:r>
      <w:r w:rsidR="00E5153B">
        <w:t>absolventų, vykstančių atlikti praktiką lituanistinėse mokyklose, stipendijoms (toliau – tarptautinių praktikų stipendijos)</w:t>
      </w:r>
      <w:r w:rsidR="00E5153B">
        <w:rPr>
          <w:spacing w:val="10"/>
        </w:rPr>
        <w:t xml:space="preserve"> </w:t>
      </w:r>
      <w:r w:rsidR="00E5153B">
        <w:t>mokėti;</w:t>
      </w:r>
    </w:p>
    <w:p w14:paraId="03BD2F41" w14:textId="77777777" w:rsidR="00E301B3" w:rsidRDefault="00A13237" w:rsidP="00E5153B">
      <w:pPr>
        <w:jc w:val="both"/>
        <w:rPr>
          <w:sz w:val="6"/>
          <w:szCs w:val="6"/>
        </w:rPr>
      </w:pPr>
    </w:p>
    <w:p w14:paraId="03BD2F42" w14:textId="77777777" w:rsidR="00E301B3" w:rsidRDefault="00A13237" w:rsidP="00E5153B">
      <w:pPr>
        <w:tabs>
          <w:tab w:val="left" w:pos="1138"/>
        </w:tabs>
        <w:ind w:left="119" w:right="127" w:firstLine="590"/>
        <w:jc w:val="both"/>
        <w:rPr>
          <w:szCs w:val="24"/>
        </w:rPr>
      </w:pPr>
      <w:r w:rsidR="00E5153B">
        <w:rPr>
          <w:szCs w:val="24"/>
          <w:lang w:val="en-US" w:bidi="en-US"/>
        </w:rPr>
        <w:t>6.4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 xml:space="preserve">Institucijų dėstytojų </w:t>
      </w:r>
      <w:r w:rsidR="00E5153B">
        <w:rPr>
          <w:spacing w:val="-5"/>
        </w:rPr>
        <w:t xml:space="preserve">ir </w:t>
      </w:r>
      <w:r w:rsidR="00E5153B">
        <w:t xml:space="preserve">kitų darbuotojų, vykstančių į užsienio valstybių </w:t>
      </w:r>
      <w:r w:rsidR="00E5153B">
        <w:rPr>
          <w:spacing w:val="-3"/>
        </w:rPr>
        <w:t xml:space="preserve">mokslo ir </w:t>
      </w:r>
      <w:r w:rsidR="00E5153B">
        <w:t xml:space="preserve">studijų institucijas </w:t>
      </w:r>
      <w:r w:rsidR="00E5153B">
        <w:rPr>
          <w:spacing w:val="-5"/>
        </w:rPr>
        <w:t xml:space="preserve">ir </w:t>
      </w:r>
      <w:r w:rsidR="00E5153B">
        <w:t xml:space="preserve">(ar) užsienio įmones dėstymo ar mokymosi tikslais, </w:t>
      </w:r>
      <w:r w:rsidR="00E5153B">
        <w:rPr>
          <w:spacing w:val="-5"/>
        </w:rPr>
        <w:t xml:space="preserve">ir </w:t>
      </w:r>
      <w:r w:rsidR="00E5153B">
        <w:t xml:space="preserve">dėstytojų, atvykstančių dėstyti į Institucijas </w:t>
      </w:r>
      <w:r w:rsidR="00E5153B">
        <w:rPr>
          <w:spacing w:val="-3"/>
        </w:rPr>
        <w:t xml:space="preserve">iš </w:t>
      </w:r>
      <w:r w:rsidR="00E5153B">
        <w:t>užsienio valstybių įmonių, mokymo ar mokslinių tyrimų centrų pagal „</w:t>
      </w:r>
      <w:proofErr w:type="spellStart"/>
      <w:r w:rsidR="00E5153B">
        <w:t>Erasmus</w:t>
      </w:r>
      <w:proofErr w:type="spellEnd"/>
      <w:r w:rsidR="00E5153B">
        <w:t xml:space="preserve">+“ programą, dėstytojų, vykstančių į Šiaurės </w:t>
      </w:r>
      <w:r w:rsidR="00E5153B">
        <w:rPr>
          <w:spacing w:val="-5"/>
        </w:rPr>
        <w:t xml:space="preserve">ir </w:t>
      </w:r>
      <w:r w:rsidR="00E5153B">
        <w:t xml:space="preserve">Baltijos valstybių </w:t>
      </w:r>
      <w:r w:rsidR="00E5153B">
        <w:rPr>
          <w:spacing w:val="-3"/>
        </w:rPr>
        <w:t xml:space="preserve">mokslo ir </w:t>
      </w:r>
      <w:r w:rsidR="00E5153B">
        <w:t>studijų institucijas dėstymo tikslais pagal „</w:t>
      </w:r>
      <w:proofErr w:type="spellStart"/>
      <w:r w:rsidR="00E5153B">
        <w:t>Nordplus</w:t>
      </w:r>
      <w:proofErr w:type="spellEnd"/>
      <w:r w:rsidR="00E5153B">
        <w:t>“ programą, bei dėstytojų, vykstančių dėstyti partnerinėse</w:t>
      </w:r>
      <w:r w:rsidR="00E5153B">
        <w:rPr>
          <w:spacing w:val="39"/>
        </w:rPr>
        <w:t xml:space="preserve"> </w:t>
      </w:r>
      <w:r w:rsidR="00E5153B">
        <w:t xml:space="preserve">institucijose </w:t>
      </w:r>
      <w:r w:rsidR="00E5153B">
        <w:rPr>
          <w:szCs w:val="24"/>
        </w:rPr>
        <w:t>pagal tarptautines jungtines studijų programas, komandiruočių (toliau – personalo komandiruotės užsienyje) išlaidoms apmokėti;</w:t>
      </w:r>
    </w:p>
    <w:p w14:paraId="03BD2F43" w14:textId="77777777" w:rsidR="00E301B3" w:rsidRDefault="00A13237" w:rsidP="00E5153B">
      <w:pPr>
        <w:tabs>
          <w:tab w:val="left" w:pos="1105"/>
        </w:tabs>
        <w:spacing w:line="271" w:lineRule="exact"/>
        <w:ind w:left="1104" w:hanging="418"/>
        <w:jc w:val="both"/>
      </w:pPr>
      <w:r w:rsidR="00E5153B">
        <w:rPr>
          <w:szCs w:val="24"/>
          <w:lang w:val="en-US" w:bidi="en-US"/>
        </w:rPr>
        <w:t>6.5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 xml:space="preserve">tarptautinių </w:t>
      </w:r>
      <w:r w:rsidR="00E5153B">
        <w:rPr>
          <w:spacing w:val="-3"/>
        </w:rPr>
        <w:t xml:space="preserve">mainų </w:t>
      </w:r>
      <w:r w:rsidR="00E5153B">
        <w:t>programų veikloms</w:t>
      </w:r>
      <w:r w:rsidR="00E5153B">
        <w:rPr>
          <w:spacing w:val="14"/>
        </w:rPr>
        <w:t xml:space="preserve"> </w:t>
      </w:r>
      <w:r w:rsidR="00E5153B">
        <w:t>organizuoti.</w:t>
      </w:r>
    </w:p>
    <w:p w14:paraId="03BD2F44" w14:textId="77777777" w:rsidR="00E301B3" w:rsidRDefault="00A13237" w:rsidP="00E5153B">
      <w:pPr>
        <w:tabs>
          <w:tab w:val="left" w:pos="932"/>
        </w:tabs>
        <w:spacing w:line="275" w:lineRule="exact"/>
        <w:ind w:left="119" w:firstLine="567"/>
        <w:jc w:val="both"/>
      </w:pPr>
      <w:r w:rsidR="00E5153B">
        <w:rPr>
          <w:szCs w:val="24"/>
          <w:lang w:val="en-US" w:bidi="en-US"/>
        </w:rPr>
        <w:t>7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>ESF lėšos gali būti</w:t>
      </w:r>
      <w:r w:rsidR="00E5153B">
        <w:rPr>
          <w:spacing w:val="-4"/>
        </w:rPr>
        <w:t xml:space="preserve"> </w:t>
      </w:r>
      <w:r w:rsidR="00E5153B">
        <w:t>skiriamos:</w:t>
      </w:r>
    </w:p>
    <w:p w14:paraId="03BD2F45" w14:textId="77777777" w:rsidR="00E301B3" w:rsidRDefault="00A13237" w:rsidP="00E5153B">
      <w:pPr>
        <w:tabs>
          <w:tab w:val="left" w:pos="1109"/>
        </w:tabs>
        <w:spacing w:line="275" w:lineRule="exact"/>
        <w:ind w:left="119" w:firstLine="567"/>
        <w:jc w:val="both"/>
      </w:pPr>
      <w:r w:rsidR="00E5153B">
        <w:rPr>
          <w:szCs w:val="24"/>
          <w:lang w:val="en-US" w:bidi="en-US"/>
        </w:rPr>
        <w:t>7.1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>Aprašo 6.1 papunktyje nurodytoms „</w:t>
      </w:r>
      <w:proofErr w:type="spellStart"/>
      <w:r w:rsidR="00E5153B">
        <w:t>Erasmus</w:t>
      </w:r>
      <w:proofErr w:type="spellEnd"/>
      <w:r w:rsidR="00E5153B">
        <w:t>+“ studentų stipendijoms</w:t>
      </w:r>
      <w:r w:rsidR="00E5153B">
        <w:rPr>
          <w:spacing w:val="3"/>
        </w:rPr>
        <w:t xml:space="preserve"> </w:t>
      </w:r>
      <w:r w:rsidR="00E5153B">
        <w:t>mokėti;</w:t>
      </w:r>
    </w:p>
    <w:p w14:paraId="03BD2F46" w14:textId="77777777" w:rsidR="00E301B3" w:rsidRDefault="00A13237" w:rsidP="00E5153B">
      <w:pPr>
        <w:tabs>
          <w:tab w:val="left" w:pos="1109"/>
        </w:tabs>
        <w:spacing w:line="275" w:lineRule="exact"/>
        <w:ind w:left="119" w:firstLine="567"/>
        <w:jc w:val="both"/>
      </w:pPr>
      <w:r w:rsidR="00E5153B">
        <w:rPr>
          <w:szCs w:val="24"/>
          <w:lang w:val="en-US" w:bidi="en-US"/>
        </w:rPr>
        <w:t>7.2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>Aprašo 6.3 papunktyje nurodytoms tarptautinių praktikų stipendijoms</w:t>
      </w:r>
      <w:r w:rsidR="00E5153B">
        <w:rPr>
          <w:spacing w:val="3"/>
        </w:rPr>
        <w:t xml:space="preserve"> </w:t>
      </w:r>
      <w:r w:rsidR="00E5153B">
        <w:t>mokėti;</w:t>
      </w:r>
    </w:p>
    <w:p w14:paraId="03BD2F47" w14:textId="77777777" w:rsidR="00E301B3" w:rsidRDefault="00A13237" w:rsidP="00E5153B">
      <w:pPr>
        <w:tabs>
          <w:tab w:val="left" w:pos="1171"/>
        </w:tabs>
        <w:ind w:left="119" w:right="137" w:firstLine="567"/>
        <w:jc w:val="both"/>
      </w:pPr>
      <w:r w:rsidR="00E5153B">
        <w:rPr>
          <w:szCs w:val="24"/>
          <w:lang w:val="en-US" w:bidi="en-US"/>
        </w:rPr>
        <w:t>7.3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 xml:space="preserve">Institucijų studentų, vykstančių studijuoti arba atlikti praktiką į partnerines užsienio valstybės </w:t>
      </w:r>
      <w:r w:rsidR="00E5153B">
        <w:rPr>
          <w:spacing w:val="-3"/>
        </w:rPr>
        <w:t xml:space="preserve">mokslo ir </w:t>
      </w:r>
      <w:r w:rsidR="00E5153B">
        <w:t>studijų institucijas arba įmones pagal tarptautines jungtines studijų programas, stipendijoms (toliau – jungtinių studijų programų stipendijos)</w:t>
      </w:r>
      <w:r w:rsidR="00E5153B">
        <w:rPr>
          <w:spacing w:val="13"/>
        </w:rPr>
        <w:t xml:space="preserve"> </w:t>
      </w:r>
      <w:r w:rsidR="00E5153B">
        <w:t>mokėti.</w:t>
      </w:r>
    </w:p>
    <w:p w14:paraId="03BD2F48" w14:textId="77777777" w:rsidR="00E301B3" w:rsidRDefault="00A13237" w:rsidP="00E5153B">
      <w:pPr>
        <w:tabs>
          <w:tab w:val="left" w:pos="936"/>
        </w:tabs>
        <w:spacing w:line="235" w:lineRule="auto"/>
        <w:ind w:left="119" w:right="126" w:firstLine="567"/>
        <w:jc w:val="both"/>
      </w:pPr>
      <w:r w:rsidR="00E5153B">
        <w:rPr>
          <w:szCs w:val="24"/>
          <w:lang w:val="en-US" w:bidi="en-US"/>
        </w:rPr>
        <w:t>8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>Studentas, gaunantis „</w:t>
      </w:r>
      <w:proofErr w:type="spellStart"/>
      <w:r w:rsidR="00E5153B">
        <w:t>Erasmus</w:t>
      </w:r>
      <w:proofErr w:type="spellEnd"/>
      <w:r w:rsidR="00E5153B">
        <w:t xml:space="preserve">+“ arba tarptautinių praktikų stipendiją, gali </w:t>
      </w:r>
      <w:r w:rsidR="00E5153B">
        <w:rPr>
          <w:spacing w:val="-3"/>
        </w:rPr>
        <w:t xml:space="preserve">ją </w:t>
      </w:r>
      <w:r w:rsidR="00E5153B">
        <w:t xml:space="preserve">gauti arba tik </w:t>
      </w:r>
      <w:r w:rsidR="00E5153B">
        <w:rPr>
          <w:spacing w:val="-3"/>
        </w:rPr>
        <w:t xml:space="preserve">iš </w:t>
      </w:r>
      <w:r w:rsidR="00E5153B">
        <w:t xml:space="preserve">nacionalinių lėšų, arba tik </w:t>
      </w:r>
      <w:r w:rsidR="00E5153B">
        <w:rPr>
          <w:spacing w:val="-3"/>
        </w:rPr>
        <w:t xml:space="preserve">iš </w:t>
      </w:r>
      <w:r w:rsidR="00E5153B">
        <w:t>ESF</w:t>
      </w:r>
      <w:r w:rsidR="00E5153B">
        <w:rPr>
          <w:spacing w:val="26"/>
        </w:rPr>
        <w:t xml:space="preserve"> </w:t>
      </w:r>
      <w:r w:rsidR="00E5153B">
        <w:t>lėšų.</w:t>
      </w:r>
    </w:p>
    <w:p w14:paraId="03BD2F49" w14:textId="77777777" w:rsidR="00E301B3" w:rsidRDefault="00A13237" w:rsidP="00E5153B">
      <w:pPr>
        <w:tabs>
          <w:tab w:val="left" w:pos="999"/>
        </w:tabs>
        <w:ind w:left="119" w:right="123" w:firstLine="567"/>
        <w:jc w:val="both"/>
      </w:pPr>
      <w:r w:rsidR="00E5153B">
        <w:rPr>
          <w:szCs w:val="24"/>
          <w:lang w:val="en-US" w:bidi="en-US"/>
        </w:rPr>
        <w:t>9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>Institucijų studentai, vykdami studijuoti į užsienį pagal „</w:t>
      </w:r>
      <w:proofErr w:type="spellStart"/>
      <w:r w:rsidR="00E5153B">
        <w:t>Erasmus</w:t>
      </w:r>
      <w:proofErr w:type="spellEnd"/>
      <w:r w:rsidR="00E5153B">
        <w:t>+“ arba „</w:t>
      </w:r>
      <w:proofErr w:type="spellStart"/>
      <w:r w:rsidR="00E5153B">
        <w:t>Nordplus</w:t>
      </w:r>
      <w:proofErr w:type="spellEnd"/>
      <w:r w:rsidR="00E5153B">
        <w:t xml:space="preserve">“ programas, gali gauti valstybės paskolas </w:t>
      </w:r>
      <w:r w:rsidR="00E5153B">
        <w:rPr>
          <w:spacing w:val="-3"/>
        </w:rPr>
        <w:t xml:space="preserve">ir </w:t>
      </w:r>
      <w:r w:rsidR="00E5153B">
        <w:t xml:space="preserve">valstybės remiamas paskolas, kurios skiriamos, vadovaujantis Valstybės paskolų </w:t>
      </w:r>
      <w:r w:rsidR="00E5153B">
        <w:rPr>
          <w:spacing w:val="-5"/>
        </w:rPr>
        <w:t xml:space="preserve">ir </w:t>
      </w:r>
      <w:r w:rsidR="00E5153B">
        <w:t xml:space="preserve">valstybės remiamų paskolų studentams suteikimo, administravimo </w:t>
      </w:r>
      <w:r w:rsidR="00E5153B">
        <w:rPr>
          <w:spacing w:val="-5"/>
        </w:rPr>
        <w:t xml:space="preserve">ir </w:t>
      </w:r>
      <w:r w:rsidR="00E5153B">
        <w:t xml:space="preserve">grąžinimo tvarkos aprašu, patvirtintu Lietuvos Respublikos Vyriausybės 2009 </w:t>
      </w:r>
      <w:r w:rsidR="00E5153B">
        <w:rPr>
          <w:spacing w:val="-3"/>
        </w:rPr>
        <w:t xml:space="preserve">m. </w:t>
      </w:r>
      <w:r w:rsidR="00E5153B">
        <w:t xml:space="preserve">gegužės 27 d. nutarimu Nr. 480 „Dėl Valstybės paskolų </w:t>
      </w:r>
      <w:r w:rsidR="00E5153B">
        <w:rPr>
          <w:spacing w:val="-5"/>
        </w:rPr>
        <w:t xml:space="preserve">ir </w:t>
      </w:r>
      <w:r w:rsidR="00E5153B">
        <w:t xml:space="preserve">valstybės remiamų paskolų studentams suteikimo, administravimo </w:t>
      </w:r>
      <w:r w:rsidR="00E5153B">
        <w:rPr>
          <w:spacing w:val="-5"/>
        </w:rPr>
        <w:t xml:space="preserve">ir </w:t>
      </w:r>
      <w:r w:rsidR="00E5153B">
        <w:t>grąžinimo tvarkos aprašo</w:t>
      </w:r>
      <w:r w:rsidR="00E5153B">
        <w:rPr>
          <w:spacing w:val="28"/>
        </w:rPr>
        <w:t xml:space="preserve"> </w:t>
      </w:r>
      <w:r w:rsidR="00E5153B">
        <w:t>patvirtinimo“.</w:t>
      </w:r>
    </w:p>
    <w:p w14:paraId="03BD2F4A" w14:textId="77777777" w:rsidR="00E301B3" w:rsidRDefault="00A13237" w:rsidP="00E5153B">
      <w:pPr>
        <w:widowControl w:val="0"/>
        <w:jc w:val="both"/>
        <w:rPr>
          <w:szCs w:val="24"/>
          <w:lang w:bidi="en-US"/>
        </w:rPr>
      </w:pPr>
    </w:p>
    <w:p w14:paraId="03BD2F4B" w14:textId="77777777" w:rsidR="00E301B3" w:rsidRDefault="00A13237">
      <w:pPr>
        <w:widowControl w:val="0"/>
        <w:tabs>
          <w:tab w:val="left" w:pos="4528"/>
        </w:tabs>
        <w:ind w:left="3260" w:right="3756"/>
        <w:jc w:val="center"/>
        <w:rPr>
          <w:b/>
          <w:bCs/>
          <w:szCs w:val="24"/>
          <w:lang w:bidi="en-US"/>
        </w:rPr>
      </w:pPr>
      <w:r w:rsidR="00E5153B">
        <w:rPr>
          <w:b/>
          <w:bCs/>
          <w:szCs w:val="24"/>
          <w:lang w:bidi="en-US"/>
        </w:rPr>
        <w:t>II</w:t>
      </w:r>
      <w:r w:rsidR="00E5153B">
        <w:rPr>
          <w:b/>
          <w:bCs/>
          <w:szCs w:val="24"/>
          <w:lang w:bidi="en-US"/>
        </w:rPr>
        <w:t xml:space="preserve"> SKYRIUS</w:t>
      </w:r>
    </w:p>
    <w:p w14:paraId="03BD2F4C" w14:textId="77777777" w:rsidR="00E301B3" w:rsidRDefault="00A13237">
      <w:pPr>
        <w:widowControl w:val="0"/>
        <w:tabs>
          <w:tab w:val="left" w:pos="4528"/>
        </w:tabs>
        <w:ind w:left="3260" w:right="3756"/>
        <w:jc w:val="center"/>
        <w:rPr>
          <w:b/>
          <w:bCs/>
          <w:szCs w:val="24"/>
          <w:lang w:bidi="en-US"/>
        </w:rPr>
      </w:pPr>
      <w:r w:rsidR="00E5153B">
        <w:rPr>
          <w:b/>
          <w:bCs/>
          <w:szCs w:val="24"/>
          <w:lang w:bidi="en-US"/>
        </w:rPr>
        <w:t>LĖŠŲ</w:t>
      </w:r>
      <w:r w:rsidR="00E5153B">
        <w:rPr>
          <w:b/>
          <w:bCs/>
          <w:spacing w:val="-7"/>
          <w:szCs w:val="24"/>
          <w:lang w:bidi="en-US"/>
        </w:rPr>
        <w:t xml:space="preserve"> </w:t>
      </w:r>
      <w:r w:rsidR="00E5153B">
        <w:rPr>
          <w:b/>
          <w:bCs/>
          <w:szCs w:val="24"/>
          <w:lang w:bidi="en-US"/>
        </w:rPr>
        <w:t>NAUDOJIMAS</w:t>
      </w:r>
    </w:p>
    <w:p w14:paraId="03BD2F4D" w14:textId="77777777" w:rsidR="00E301B3" w:rsidRDefault="00E301B3">
      <w:pPr>
        <w:widowControl w:val="0"/>
        <w:rPr>
          <w:b/>
          <w:sz w:val="23"/>
          <w:szCs w:val="24"/>
          <w:lang w:bidi="en-US"/>
        </w:rPr>
      </w:pPr>
    </w:p>
    <w:p w14:paraId="03BD2F4E" w14:textId="77777777" w:rsidR="00E301B3" w:rsidRDefault="00A13237" w:rsidP="00E5153B">
      <w:pPr>
        <w:tabs>
          <w:tab w:val="left" w:pos="1133"/>
        </w:tabs>
        <w:ind w:left="119" w:right="120" w:firstLine="567"/>
        <w:jc w:val="both"/>
      </w:pPr>
      <w:r w:rsidR="00E5153B">
        <w:rPr>
          <w:szCs w:val="24"/>
          <w:lang w:val="en-US" w:bidi="en-US"/>
        </w:rPr>
        <w:t>10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>Valstybės biudžeto lėšos, skirtos „</w:t>
      </w:r>
      <w:proofErr w:type="spellStart"/>
      <w:r w:rsidR="00E5153B">
        <w:t>Erasmus</w:t>
      </w:r>
      <w:proofErr w:type="spellEnd"/>
      <w:r w:rsidR="00E5153B">
        <w:t xml:space="preserve">+“ </w:t>
      </w:r>
      <w:r w:rsidR="00E5153B">
        <w:rPr>
          <w:spacing w:val="-3"/>
        </w:rPr>
        <w:t xml:space="preserve">ir </w:t>
      </w:r>
      <w:r w:rsidR="00E5153B">
        <w:t>„</w:t>
      </w:r>
      <w:proofErr w:type="spellStart"/>
      <w:r w:rsidR="00E5153B">
        <w:t>Nordplus</w:t>
      </w:r>
      <w:proofErr w:type="spellEnd"/>
      <w:r w:rsidR="00E5153B">
        <w:t xml:space="preserve">“ studentų stipendijoms, tarptautinių praktikų stipendijoms </w:t>
      </w:r>
      <w:r w:rsidR="00E5153B">
        <w:rPr>
          <w:spacing w:val="-5"/>
        </w:rPr>
        <w:t xml:space="preserve">ir </w:t>
      </w:r>
      <w:r w:rsidR="00E5153B">
        <w:t>jungtinių studijų programų stipendijoms (toliau – studentų stipendijos), naudojamos, laikantis šios</w:t>
      </w:r>
      <w:r w:rsidR="00E5153B">
        <w:rPr>
          <w:spacing w:val="9"/>
        </w:rPr>
        <w:t xml:space="preserve"> </w:t>
      </w:r>
      <w:r w:rsidR="00E5153B">
        <w:t>tvarkos:</w:t>
      </w:r>
    </w:p>
    <w:p w14:paraId="03BD2F4F" w14:textId="77777777" w:rsidR="00E301B3" w:rsidRDefault="00A13237" w:rsidP="00E5153B">
      <w:pPr>
        <w:tabs>
          <w:tab w:val="left" w:pos="1248"/>
        </w:tabs>
        <w:ind w:left="119" w:right="125" w:firstLine="567"/>
        <w:jc w:val="both"/>
      </w:pPr>
      <w:r w:rsidR="00E5153B">
        <w:rPr>
          <w:szCs w:val="24"/>
          <w:lang w:val="en-US" w:bidi="en-US"/>
        </w:rPr>
        <w:t>10.1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>valstybės biudžeto lėšos studentų stipendijoms gali būti skiriamos tik toms Institucijoms, kurios įgyvendina „</w:t>
      </w:r>
      <w:proofErr w:type="spellStart"/>
      <w:r w:rsidR="00E5153B">
        <w:t>Erasmus</w:t>
      </w:r>
      <w:proofErr w:type="spellEnd"/>
      <w:r w:rsidR="00E5153B">
        <w:t>+“ arba „</w:t>
      </w:r>
      <w:proofErr w:type="spellStart"/>
      <w:r w:rsidR="00E5153B">
        <w:t>Nordplus</w:t>
      </w:r>
      <w:proofErr w:type="spellEnd"/>
      <w:r w:rsidR="00E5153B">
        <w:t xml:space="preserve">“ programas, tarptautines praktikas bei tarptautines jungtines studijų programas, vadovaujantis programų reikalavimais </w:t>
      </w:r>
      <w:r w:rsidR="00E5153B">
        <w:rPr>
          <w:spacing w:val="-3"/>
        </w:rPr>
        <w:t xml:space="preserve">ir </w:t>
      </w:r>
      <w:r w:rsidR="00E5153B">
        <w:t>4 punkte nurodytu Fondo direktoriaus patvirtinimu, atsižvelgiant į pragyvenimo lygį užsienio valstybėse, į kurias vykstama. Užsienio valstybės skirstomos į keturias</w:t>
      </w:r>
      <w:r w:rsidR="00E5153B">
        <w:rPr>
          <w:spacing w:val="6"/>
        </w:rPr>
        <w:t xml:space="preserve"> </w:t>
      </w:r>
      <w:r w:rsidR="00E5153B">
        <w:t>grupes, kaip nurodyta 10.2 papunktyje;</w:t>
      </w:r>
    </w:p>
    <w:p w14:paraId="03BD2F50" w14:textId="77777777" w:rsidR="00E301B3" w:rsidRDefault="00A13237" w:rsidP="00E5153B">
      <w:pPr>
        <w:tabs>
          <w:tab w:val="left" w:pos="1296"/>
        </w:tabs>
        <w:ind w:left="119" w:right="137" w:firstLine="567"/>
        <w:jc w:val="both"/>
      </w:pPr>
      <w:r w:rsidR="00E5153B">
        <w:rPr>
          <w:spacing w:val="-10"/>
          <w:szCs w:val="24"/>
          <w:lang w:val="en-US" w:bidi="en-US"/>
        </w:rPr>
        <w:t>10.2</w:t>
      </w:r>
      <w:r w:rsidR="00E5153B">
        <w:rPr>
          <w:spacing w:val="-10"/>
          <w:szCs w:val="24"/>
          <w:lang w:val="en-US" w:bidi="en-US"/>
        </w:rPr>
        <w:t>.</w:t>
      </w:r>
      <w:r w:rsidR="00E5153B">
        <w:rPr>
          <w:spacing w:val="-10"/>
          <w:szCs w:val="24"/>
          <w:lang w:val="en-US" w:bidi="en-US"/>
        </w:rPr>
        <w:tab/>
      </w:r>
      <w:r w:rsidR="00E5153B">
        <w:t>valstybės biudžeto lėšų, skirtų „</w:t>
      </w:r>
      <w:proofErr w:type="spellStart"/>
      <w:r w:rsidR="00E5153B">
        <w:t>Erasmus</w:t>
      </w:r>
      <w:proofErr w:type="spellEnd"/>
      <w:r w:rsidR="00E5153B">
        <w:t>+“ studentų stipendijoms arba tarptautinių praktikų stipendijoms mokėti, skiriama fiksuota suma vienam studentui pagal atitinkamą užsienio valstybių grupę, nurodyta lentelėje Nr. 1</w:t>
      </w:r>
      <w:r w:rsidR="00E5153B">
        <w:rPr>
          <w:spacing w:val="-3"/>
        </w:rPr>
        <w:t>;</w:t>
      </w:r>
    </w:p>
    <w:p w14:paraId="03BD2F51" w14:textId="77777777" w:rsidR="00E301B3" w:rsidRDefault="00E301B3" w:rsidP="00E5153B">
      <w:pPr>
        <w:widowControl w:val="0"/>
        <w:tabs>
          <w:tab w:val="left" w:pos="1296"/>
        </w:tabs>
        <w:ind w:left="686" w:right="137"/>
        <w:jc w:val="both"/>
        <w:rPr>
          <w:spacing w:val="-3"/>
          <w:szCs w:val="22"/>
          <w:lang w:bidi="en-US"/>
        </w:rPr>
      </w:pPr>
    </w:p>
    <w:p w14:paraId="03BD2F52" w14:textId="77777777" w:rsidR="00E301B3" w:rsidRDefault="00E5153B" w:rsidP="00E5153B">
      <w:pPr>
        <w:tabs>
          <w:tab w:val="left" w:pos="1474"/>
        </w:tabs>
        <w:spacing w:line="274" w:lineRule="exact"/>
        <w:jc w:val="both"/>
        <w:rPr>
          <w:szCs w:val="24"/>
        </w:rPr>
      </w:pPr>
      <w:r>
        <w:rPr>
          <w:b/>
          <w:szCs w:val="24"/>
        </w:rPr>
        <w:t>Lentelė Nr. 1.</w:t>
      </w:r>
      <w:r>
        <w:rPr>
          <w:szCs w:val="24"/>
        </w:rPr>
        <w:t xml:space="preserve"> V</w:t>
      </w:r>
      <w:r>
        <w:t>alstybės biudžeto lėšos, skirtos „</w:t>
      </w:r>
      <w:proofErr w:type="spellStart"/>
      <w:r>
        <w:t>Erasmus</w:t>
      </w:r>
      <w:proofErr w:type="spellEnd"/>
      <w:r>
        <w:t>+“ studentų stipendijoms arba tarptautinių praktikų stipendijoms mokėti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961"/>
        <w:gridCol w:w="1701"/>
        <w:gridCol w:w="1701"/>
      </w:tblGrid>
      <w:tr w:rsidR="00E301B3" w14:paraId="03BD2F59" w14:textId="77777777">
        <w:trPr>
          <w:trHeight w:val="69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2F53" w14:textId="77777777" w:rsidR="00E301B3" w:rsidRDefault="00E301B3" w:rsidP="00E5153B">
            <w:pPr>
              <w:widowControl w:val="0"/>
              <w:suppressAutoHyphens/>
              <w:jc w:val="both"/>
              <w:textAlignment w:val="baseline"/>
              <w:rPr>
                <w:b/>
                <w:sz w:val="20"/>
                <w:lang w:eastAsia="ja-JP" w:bidi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2F54" w14:textId="77777777" w:rsidR="00E301B3" w:rsidRDefault="00E5153B" w:rsidP="00E5153B">
            <w:pPr>
              <w:widowControl w:val="0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zh-CN" w:bidi="en-US"/>
              </w:rPr>
            </w:pPr>
            <w:r>
              <w:rPr>
                <w:b/>
                <w:kern w:val="3"/>
                <w:sz w:val="20"/>
                <w:lang w:eastAsia="zh-CN"/>
              </w:rPr>
              <w:t>Priimanti šalis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2F55" w14:textId="77777777" w:rsidR="00E301B3" w:rsidRDefault="00E5153B" w:rsidP="00E5153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zh-CN" w:bidi="en-US"/>
              </w:rPr>
            </w:pPr>
            <w:r>
              <w:rPr>
                <w:b/>
                <w:kern w:val="3"/>
                <w:sz w:val="20"/>
                <w:lang w:eastAsia="zh-CN"/>
              </w:rPr>
              <w:t>Stipendija studijoms,</w:t>
            </w:r>
          </w:p>
          <w:p w14:paraId="03BD2F56" w14:textId="77777777" w:rsidR="00E301B3" w:rsidRDefault="00E5153B" w:rsidP="00E5153B">
            <w:pPr>
              <w:widowControl w:val="0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zh-CN" w:bidi="en-US"/>
              </w:rPr>
            </w:pPr>
            <w:r>
              <w:rPr>
                <w:rFonts w:eastAsia="SimSun"/>
                <w:b/>
                <w:kern w:val="3"/>
                <w:sz w:val="20"/>
                <w:lang w:eastAsia="zh-CN"/>
              </w:rPr>
              <w:t>EUR /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2F57" w14:textId="77777777" w:rsidR="00E301B3" w:rsidRDefault="00E5153B" w:rsidP="00E5153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zh-CN" w:bidi="en-US"/>
              </w:rPr>
            </w:pPr>
            <w:r>
              <w:rPr>
                <w:b/>
                <w:kern w:val="3"/>
                <w:sz w:val="20"/>
                <w:lang w:eastAsia="zh-CN"/>
              </w:rPr>
              <w:t>Stipendija praktikoms,</w:t>
            </w:r>
          </w:p>
          <w:p w14:paraId="03BD2F58" w14:textId="77777777" w:rsidR="00E301B3" w:rsidRDefault="00E5153B" w:rsidP="00E5153B">
            <w:pPr>
              <w:widowControl w:val="0"/>
              <w:suppressAutoHyphens/>
              <w:jc w:val="both"/>
              <w:textAlignment w:val="baseline"/>
              <w:rPr>
                <w:b/>
                <w:kern w:val="3"/>
                <w:sz w:val="20"/>
                <w:lang w:eastAsia="zh-CN" w:bidi="en-US"/>
              </w:rPr>
            </w:pPr>
            <w:r>
              <w:rPr>
                <w:rFonts w:eastAsia="SimSun"/>
                <w:b/>
                <w:kern w:val="3"/>
                <w:sz w:val="20"/>
                <w:lang w:eastAsia="zh-CN"/>
              </w:rPr>
              <w:t>EUR / mėn.</w:t>
            </w:r>
          </w:p>
        </w:tc>
      </w:tr>
      <w:tr w:rsidR="00E301B3" w14:paraId="03BD2F60" w14:textId="77777777">
        <w:trPr>
          <w:trHeight w:val="69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2F5A" w14:textId="77777777" w:rsidR="00E301B3" w:rsidRDefault="00E301B3" w:rsidP="00E5153B">
            <w:pPr>
              <w:jc w:val="both"/>
              <w:rPr>
                <w:sz w:val="10"/>
                <w:szCs w:val="10"/>
              </w:rPr>
            </w:pPr>
          </w:p>
          <w:p w14:paraId="03BD2F5B" w14:textId="77777777" w:rsidR="00E301B3" w:rsidRDefault="00E5153B" w:rsidP="00E5153B">
            <w:pPr>
              <w:widowControl w:val="0"/>
              <w:jc w:val="both"/>
              <w:rPr>
                <w:b/>
                <w:szCs w:val="24"/>
                <w:lang w:eastAsia="ja-JP" w:bidi="en-US"/>
              </w:rPr>
            </w:pPr>
            <w:r>
              <w:rPr>
                <w:b/>
                <w:szCs w:val="24"/>
                <w:lang w:eastAsia="ja-JP"/>
              </w:rPr>
              <w:t>1 grupė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2F5C" w14:textId="77777777" w:rsidR="00E301B3" w:rsidRDefault="00E5153B" w:rsidP="00E5153B">
            <w:pPr>
              <w:widowControl w:val="0"/>
              <w:jc w:val="both"/>
              <w:rPr>
                <w:szCs w:val="24"/>
                <w:lang w:bidi="en-US"/>
              </w:rPr>
            </w:pPr>
            <w:r>
              <w:rPr>
                <w:szCs w:val="24"/>
              </w:rPr>
              <w:t>Danija, Suomija, Islandija, Airija, Liuksemburgas, Švedija, Jungtinė Karalystė, Lichtenšteinas, Norvegija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2F5D" w14:textId="77777777" w:rsidR="00E301B3" w:rsidRDefault="00E301B3" w:rsidP="00E5153B">
            <w:pPr>
              <w:jc w:val="both"/>
              <w:rPr>
                <w:szCs w:val="24"/>
                <w:lang w:bidi="en-US"/>
              </w:rPr>
            </w:pPr>
          </w:p>
          <w:p w14:paraId="03BD2F5E" w14:textId="77777777" w:rsidR="00E301B3" w:rsidRDefault="00E5153B" w:rsidP="00E5153B">
            <w:pPr>
              <w:widowControl w:val="0"/>
              <w:jc w:val="both"/>
              <w:rPr>
                <w:szCs w:val="24"/>
                <w:lang w:bidi="en-US"/>
              </w:rPr>
            </w:pPr>
            <w:r>
              <w:rPr>
                <w:szCs w:val="24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2F5F" w14:textId="77777777" w:rsidR="00E301B3" w:rsidRDefault="00E5153B" w:rsidP="00E5153B">
            <w:pPr>
              <w:widowControl w:val="0"/>
              <w:jc w:val="both"/>
              <w:rPr>
                <w:szCs w:val="24"/>
                <w:lang w:bidi="en-US"/>
              </w:rPr>
            </w:pPr>
            <w:r>
              <w:rPr>
                <w:szCs w:val="24"/>
              </w:rPr>
              <w:t>700</w:t>
            </w:r>
          </w:p>
        </w:tc>
      </w:tr>
      <w:tr w:rsidR="00E301B3" w14:paraId="03BD2F67" w14:textId="77777777">
        <w:trPr>
          <w:trHeight w:val="69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2F61" w14:textId="77777777" w:rsidR="00E301B3" w:rsidRDefault="00E301B3" w:rsidP="00E5153B">
            <w:pPr>
              <w:jc w:val="both"/>
              <w:rPr>
                <w:sz w:val="10"/>
                <w:szCs w:val="10"/>
              </w:rPr>
            </w:pPr>
          </w:p>
          <w:p w14:paraId="03BD2F62" w14:textId="77777777" w:rsidR="00E301B3" w:rsidRDefault="00E5153B" w:rsidP="00E5153B">
            <w:pPr>
              <w:widowControl w:val="0"/>
              <w:jc w:val="both"/>
              <w:rPr>
                <w:b/>
                <w:szCs w:val="24"/>
                <w:lang w:eastAsia="ja-JP" w:bidi="en-US"/>
              </w:rPr>
            </w:pPr>
            <w:r>
              <w:rPr>
                <w:b/>
                <w:szCs w:val="24"/>
                <w:lang w:eastAsia="ja-JP"/>
              </w:rPr>
              <w:t xml:space="preserve">2 grupė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2F63" w14:textId="77777777" w:rsidR="00E301B3" w:rsidRDefault="00E5153B" w:rsidP="00E5153B">
            <w:pPr>
              <w:widowControl w:val="0"/>
              <w:jc w:val="both"/>
              <w:rPr>
                <w:szCs w:val="24"/>
                <w:lang w:bidi="en-US"/>
              </w:rPr>
            </w:pPr>
            <w:r>
              <w:rPr>
                <w:szCs w:val="24"/>
              </w:rPr>
              <w:t>Austrija, Belgija, Vokietija, Prancūzija, Italija, Graikija, Ispanija, Kipras, Nyderlandai, Malta, Portugalija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2F64" w14:textId="77777777" w:rsidR="00E301B3" w:rsidRDefault="00E301B3" w:rsidP="00E5153B">
            <w:pPr>
              <w:jc w:val="both"/>
              <w:rPr>
                <w:szCs w:val="24"/>
                <w:lang w:bidi="en-US"/>
              </w:rPr>
            </w:pPr>
          </w:p>
          <w:p w14:paraId="03BD2F65" w14:textId="77777777" w:rsidR="00E301B3" w:rsidRDefault="00E5153B" w:rsidP="00E5153B">
            <w:pPr>
              <w:widowControl w:val="0"/>
              <w:jc w:val="both"/>
              <w:rPr>
                <w:szCs w:val="24"/>
                <w:lang w:bidi="en-US"/>
              </w:rPr>
            </w:pPr>
            <w:r>
              <w:rPr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2F66" w14:textId="77777777" w:rsidR="00E301B3" w:rsidRDefault="00E5153B" w:rsidP="00E5153B">
            <w:pPr>
              <w:widowControl w:val="0"/>
              <w:jc w:val="both"/>
              <w:rPr>
                <w:szCs w:val="24"/>
                <w:lang w:bidi="en-US"/>
              </w:rPr>
            </w:pPr>
            <w:r>
              <w:rPr>
                <w:szCs w:val="24"/>
              </w:rPr>
              <w:t>650</w:t>
            </w:r>
          </w:p>
        </w:tc>
      </w:tr>
      <w:tr w:rsidR="00E301B3" w14:paraId="03BD2F6E" w14:textId="77777777">
        <w:trPr>
          <w:trHeight w:val="69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2F68" w14:textId="77777777" w:rsidR="00E301B3" w:rsidRDefault="00E301B3" w:rsidP="00E5153B">
            <w:pPr>
              <w:jc w:val="both"/>
              <w:rPr>
                <w:sz w:val="10"/>
                <w:szCs w:val="10"/>
              </w:rPr>
            </w:pPr>
          </w:p>
          <w:p w14:paraId="03BD2F69" w14:textId="77777777" w:rsidR="00E301B3" w:rsidRDefault="00E5153B" w:rsidP="00E5153B">
            <w:pPr>
              <w:widowControl w:val="0"/>
              <w:jc w:val="both"/>
              <w:rPr>
                <w:b/>
                <w:szCs w:val="24"/>
                <w:lang w:bidi="en-US"/>
              </w:rPr>
            </w:pPr>
            <w:r>
              <w:rPr>
                <w:b/>
                <w:szCs w:val="24"/>
                <w:lang w:eastAsia="ja-JP"/>
              </w:rPr>
              <w:t>3 grupė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2F6A" w14:textId="77777777" w:rsidR="00E301B3" w:rsidRDefault="00E5153B" w:rsidP="00E5153B">
            <w:pPr>
              <w:widowControl w:val="0"/>
              <w:jc w:val="both"/>
              <w:rPr>
                <w:szCs w:val="24"/>
                <w:lang w:bidi="en-US"/>
              </w:rPr>
            </w:pPr>
            <w:r>
              <w:rPr>
                <w:szCs w:val="24"/>
              </w:rPr>
              <w:t>Bulgarija, Kroatija, Čekija, Estija, Latvija, Vengrija, Lenkija, Rumunija, Serbija, Slovakija, Slovėnija, Makedonija, Turkija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2F6B" w14:textId="77777777" w:rsidR="00E301B3" w:rsidRDefault="00E301B3" w:rsidP="00E5153B">
            <w:pPr>
              <w:jc w:val="both"/>
              <w:rPr>
                <w:szCs w:val="24"/>
                <w:lang w:bidi="en-US"/>
              </w:rPr>
            </w:pPr>
          </w:p>
          <w:p w14:paraId="03BD2F6C" w14:textId="77777777" w:rsidR="00E301B3" w:rsidRDefault="00E5153B" w:rsidP="00E5153B">
            <w:pPr>
              <w:widowControl w:val="0"/>
              <w:jc w:val="both"/>
              <w:rPr>
                <w:szCs w:val="24"/>
                <w:lang w:bidi="en-US"/>
              </w:rPr>
            </w:pPr>
            <w:r>
              <w:rPr>
                <w:szCs w:val="24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2F6D" w14:textId="77777777" w:rsidR="00E301B3" w:rsidRDefault="00E5153B" w:rsidP="00E5153B">
            <w:pPr>
              <w:widowControl w:val="0"/>
              <w:jc w:val="both"/>
              <w:rPr>
                <w:szCs w:val="24"/>
                <w:lang w:bidi="en-US"/>
              </w:rPr>
            </w:pPr>
            <w:r>
              <w:rPr>
                <w:szCs w:val="24"/>
              </w:rPr>
              <w:t>600</w:t>
            </w:r>
          </w:p>
        </w:tc>
      </w:tr>
      <w:tr w:rsidR="00E301B3" w14:paraId="03BD2F74" w14:textId="77777777">
        <w:trPr>
          <w:trHeight w:val="4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2F6F" w14:textId="77777777" w:rsidR="00E301B3" w:rsidRDefault="00E301B3" w:rsidP="00E5153B">
            <w:pPr>
              <w:jc w:val="both"/>
              <w:rPr>
                <w:sz w:val="10"/>
                <w:szCs w:val="10"/>
              </w:rPr>
            </w:pPr>
          </w:p>
          <w:p w14:paraId="03BD2F70" w14:textId="77777777" w:rsidR="00E301B3" w:rsidRDefault="00E5153B" w:rsidP="00E5153B">
            <w:pPr>
              <w:widowControl w:val="0"/>
              <w:jc w:val="both"/>
              <w:rPr>
                <w:b/>
                <w:szCs w:val="24"/>
                <w:lang w:eastAsia="ja-JP" w:bidi="en-US"/>
              </w:rPr>
            </w:pPr>
            <w:r>
              <w:rPr>
                <w:b/>
                <w:szCs w:val="24"/>
                <w:lang w:eastAsia="ja-JP"/>
              </w:rPr>
              <w:t>4 grupė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2F71" w14:textId="77777777" w:rsidR="00E301B3" w:rsidRDefault="00E5153B" w:rsidP="00E5153B">
            <w:pPr>
              <w:widowControl w:val="0"/>
              <w:suppressAutoHyphens/>
              <w:jc w:val="both"/>
              <w:textAlignment w:val="baseline"/>
              <w:rPr>
                <w:kern w:val="3"/>
                <w:szCs w:val="24"/>
                <w:lang w:eastAsia="zh-CN" w:bidi="en-US"/>
              </w:rPr>
            </w:pPr>
            <w:r>
              <w:rPr>
                <w:kern w:val="3"/>
                <w:szCs w:val="24"/>
                <w:lang w:eastAsia="zh-CN"/>
              </w:rPr>
              <w:t>Kitos šalys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2F72" w14:textId="77777777" w:rsidR="00E301B3" w:rsidRDefault="00E5153B" w:rsidP="00E5153B">
            <w:pPr>
              <w:widowControl w:val="0"/>
              <w:suppressAutoHyphens/>
              <w:jc w:val="both"/>
              <w:textAlignment w:val="baseline"/>
              <w:rPr>
                <w:kern w:val="3"/>
                <w:szCs w:val="24"/>
                <w:lang w:eastAsia="zh-CN" w:bidi="en-US"/>
              </w:rPr>
            </w:pPr>
            <w:r>
              <w:rPr>
                <w:kern w:val="3"/>
                <w:szCs w:val="24"/>
                <w:lang w:eastAsia="zh-CN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2F73" w14:textId="77777777" w:rsidR="00E301B3" w:rsidRDefault="00E5153B" w:rsidP="00E5153B">
            <w:pPr>
              <w:widowControl w:val="0"/>
              <w:suppressAutoHyphens/>
              <w:jc w:val="both"/>
              <w:textAlignment w:val="baseline"/>
              <w:rPr>
                <w:kern w:val="3"/>
                <w:szCs w:val="24"/>
                <w:lang w:eastAsia="zh-CN" w:bidi="en-US"/>
              </w:rPr>
            </w:pPr>
            <w:r>
              <w:rPr>
                <w:kern w:val="3"/>
                <w:szCs w:val="24"/>
                <w:lang w:eastAsia="zh-CN"/>
              </w:rPr>
              <w:t>700</w:t>
            </w:r>
          </w:p>
        </w:tc>
      </w:tr>
    </w:tbl>
    <w:p w14:paraId="03BD2F75" w14:textId="77777777" w:rsidR="00E301B3" w:rsidRDefault="00A13237" w:rsidP="00E5153B">
      <w:pPr>
        <w:widowControl w:val="0"/>
        <w:tabs>
          <w:tab w:val="left" w:pos="1296"/>
        </w:tabs>
        <w:ind w:left="686" w:right="137"/>
        <w:jc w:val="both"/>
        <w:rPr>
          <w:szCs w:val="22"/>
          <w:lang w:bidi="en-US"/>
        </w:rPr>
      </w:pPr>
    </w:p>
    <w:p w14:paraId="03BD2F76" w14:textId="77777777" w:rsidR="00E301B3" w:rsidRDefault="00A13237" w:rsidP="00E5153B">
      <w:pPr>
        <w:tabs>
          <w:tab w:val="left" w:pos="1296"/>
        </w:tabs>
        <w:ind w:left="119" w:right="137" w:firstLine="567"/>
        <w:jc w:val="both"/>
      </w:pPr>
      <w:r w:rsidR="00E5153B">
        <w:rPr>
          <w:spacing w:val="-10"/>
          <w:szCs w:val="24"/>
          <w:lang w:val="en-US" w:bidi="en-US"/>
        </w:rPr>
        <w:t>10.3</w:t>
      </w:r>
      <w:r w:rsidR="00E5153B">
        <w:rPr>
          <w:spacing w:val="-10"/>
          <w:szCs w:val="24"/>
          <w:lang w:val="en-US" w:bidi="en-US"/>
        </w:rPr>
        <w:t>.</w:t>
      </w:r>
      <w:r w:rsidR="00E5153B">
        <w:rPr>
          <w:spacing w:val="-10"/>
          <w:szCs w:val="24"/>
          <w:lang w:val="en-US" w:bidi="en-US"/>
        </w:rPr>
        <w:tab/>
      </w:r>
      <w:r w:rsidR="00E5153B">
        <w:t>socialiai remtiniems studentams, vykstantiems studijuoti į užsienio valstybes, Institucijos gali mokėti 200 eurų per mėnesį papildomą</w:t>
      </w:r>
      <w:r w:rsidR="00E5153B">
        <w:rPr>
          <w:spacing w:val="-9"/>
        </w:rPr>
        <w:t xml:space="preserve"> </w:t>
      </w:r>
      <w:r w:rsidR="00E5153B">
        <w:t>stipendiją;</w:t>
      </w:r>
    </w:p>
    <w:p w14:paraId="03BD2F77" w14:textId="77777777" w:rsidR="00E301B3" w:rsidRDefault="00A13237" w:rsidP="00E5153B">
      <w:pPr>
        <w:tabs>
          <w:tab w:val="left" w:pos="1296"/>
        </w:tabs>
        <w:ind w:left="119" w:right="137" w:firstLine="567"/>
        <w:jc w:val="both"/>
      </w:pPr>
      <w:r w:rsidR="00E5153B">
        <w:rPr>
          <w:spacing w:val="-10"/>
          <w:szCs w:val="24"/>
          <w:lang w:val="en-US" w:bidi="en-US"/>
        </w:rPr>
        <w:t>10.4</w:t>
      </w:r>
      <w:r w:rsidR="00E5153B">
        <w:rPr>
          <w:spacing w:val="-10"/>
          <w:szCs w:val="24"/>
          <w:lang w:val="en-US" w:bidi="en-US"/>
        </w:rPr>
        <w:t>.</w:t>
      </w:r>
      <w:r w:rsidR="00E5153B">
        <w:rPr>
          <w:spacing w:val="-10"/>
          <w:szCs w:val="24"/>
          <w:lang w:val="en-US" w:bidi="en-US"/>
        </w:rPr>
        <w:tab/>
      </w:r>
      <w:r w:rsidR="00E5153B">
        <w:t xml:space="preserve">studentams, vykstantiems studijuoti ar atlikti praktiką į 4 grupės užsienio valstybes, išskyrus į Šveicarijos Konfederaciją, papildomai dengiamos kelionės išlaidos, kurios apskaičiuojamos pagal atstumą nuo </w:t>
      </w:r>
      <w:r w:rsidR="00E5153B">
        <w:rPr>
          <w:spacing w:val="-3"/>
        </w:rPr>
        <w:t xml:space="preserve">išvykimo </w:t>
      </w:r>
      <w:r w:rsidR="00E5153B">
        <w:t xml:space="preserve">vietos iki studijų ar praktikos vietos </w:t>
      </w:r>
      <w:r w:rsidR="00E5153B">
        <w:rPr>
          <w:spacing w:val="-5"/>
        </w:rPr>
        <w:t xml:space="preserve">ir </w:t>
      </w:r>
      <w:r w:rsidR="00E5153B">
        <w:t>skirstomos į šešias grupes pagal Europos Komisijos patvirtintą „</w:t>
      </w:r>
      <w:proofErr w:type="spellStart"/>
      <w:r w:rsidR="00E5153B">
        <w:t>Erasmus</w:t>
      </w:r>
      <w:proofErr w:type="spellEnd"/>
      <w:r w:rsidR="00E5153B">
        <w:t>+“ programos</w:t>
      </w:r>
      <w:r w:rsidR="00E5153B">
        <w:rPr>
          <w:spacing w:val="-34"/>
        </w:rPr>
        <w:t xml:space="preserve"> </w:t>
      </w:r>
      <w:r w:rsidR="00E5153B">
        <w:t>vadovą;</w:t>
      </w:r>
    </w:p>
    <w:p w14:paraId="03BD2F78" w14:textId="77777777" w:rsidR="00E301B3" w:rsidRDefault="00A13237" w:rsidP="00E5153B">
      <w:pPr>
        <w:tabs>
          <w:tab w:val="left" w:pos="1296"/>
        </w:tabs>
        <w:ind w:left="119" w:right="137" w:firstLine="567"/>
        <w:jc w:val="both"/>
      </w:pPr>
      <w:r w:rsidR="00E5153B">
        <w:rPr>
          <w:spacing w:val="-10"/>
          <w:szCs w:val="24"/>
          <w:lang w:val="en-US" w:bidi="en-US"/>
        </w:rPr>
        <w:t>10.5</w:t>
      </w:r>
      <w:r w:rsidR="00E5153B">
        <w:rPr>
          <w:spacing w:val="-10"/>
          <w:szCs w:val="24"/>
          <w:lang w:val="en-US" w:bidi="en-US"/>
        </w:rPr>
        <w:t>.</w:t>
      </w:r>
      <w:r w:rsidR="00E5153B">
        <w:rPr>
          <w:spacing w:val="-10"/>
          <w:szCs w:val="24"/>
          <w:lang w:val="en-US" w:bidi="en-US"/>
        </w:rPr>
        <w:tab/>
      </w:r>
      <w:r w:rsidR="00E5153B">
        <w:t>studentų mobilumo pagal „</w:t>
      </w:r>
      <w:proofErr w:type="spellStart"/>
      <w:r w:rsidR="00E5153B">
        <w:t>Nordplus</w:t>
      </w:r>
      <w:proofErr w:type="spellEnd"/>
      <w:r w:rsidR="00E5153B">
        <w:t>“ programą atveju Nacionalinės lėšos studentų stipendijoms mokamos tik vykstant į šioje programoje dalyvaujančias šalis, padengiant skirtumą tarp „</w:t>
      </w:r>
      <w:proofErr w:type="spellStart"/>
      <w:r w:rsidR="00E5153B">
        <w:t>Nordplus</w:t>
      </w:r>
      <w:proofErr w:type="spellEnd"/>
      <w:r w:rsidR="00E5153B">
        <w:t xml:space="preserve">“ skiriamos stipendijos </w:t>
      </w:r>
      <w:r w:rsidR="00E5153B">
        <w:rPr>
          <w:spacing w:val="-5"/>
        </w:rPr>
        <w:t xml:space="preserve">ir </w:t>
      </w:r>
      <w:r w:rsidR="00E5153B">
        <w:t xml:space="preserve">fiksuoto 10.2 </w:t>
      </w:r>
      <w:r w:rsidR="00E5153B">
        <w:rPr>
          <w:spacing w:val="-5"/>
        </w:rPr>
        <w:t xml:space="preserve">ir </w:t>
      </w:r>
      <w:r w:rsidR="00E5153B">
        <w:t>10.3 papunkčiuose nurodyto studijų ar praktikos stipendijos</w:t>
      </w:r>
      <w:r w:rsidR="00E5153B">
        <w:rPr>
          <w:spacing w:val="-3"/>
        </w:rPr>
        <w:t xml:space="preserve"> </w:t>
      </w:r>
      <w:r w:rsidR="00E5153B">
        <w:t>dydžio;</w:t>
      </w:r>
    </w:p>
    <w:p w14:paraId="03BD2F79" w14:textId="77777777" w:rsidR="00E301B3" w:rsidRDefault="00A13237" w:rsidP="00E5153B">
      <w:pPr>
        <w:tabs>
          <w:tab w:val="left" w:pos="1263"/>
        </w:tabs>
        <w:ind w:left="119" w:right="136" w:firstLine="590"/>
        <w:jc w:val="both"/>
      </w:pPr>
      <w:r w:rsidR="00E5153B">
        <w:t>10.6</w:t>
      </w:r>
      <w:r w:rsidR="00E5153B">
        <w:rPr>
          <w:color w:val="C00000"/>
        </w:rPr>
        <w:t xml:space="preserve">. </w:t>
      </w:r>
      <w:r w:rsidR="00E5153B">
        <w:t xml:space="preserve">užsienio šalių piliečiams, studijuojantiems Institucijose, studijų </w:t>
      </w:r>
      <w:r w:rsidR="00E5153B">
        <w:rPr>
          <w:spacing w:val="-5"/>
        </w:rPr>
        <w:t xml:space="preserve">ir </w:t>
      </w:r>
      <w:r w:rsidR="00E5153B">
        <w:t xml:space="preserve">praktikų stipendijos   skiriamos, jei šie piliečiai yra nuolatinės studijų formos studentai </w:t>
      </w:r>
      <w:r w:rsidR="00E5153B">
        <w:rPr>
          <w:spacing w:val="-3"/>
        </w:rPr>
        <w:t xml:space="preserve">ir </w:t>
      </w:r>
      <w:r w:rsidR="00E5153B">
        <w:t>turi leidimą laikinai arba nuolat gyventi Lietuvos</w:t>
      </w:r>
      <w:r w:rsidR="00E5153B">
        <w:rPr>
          <w:spacing w:val="-7"/>
        </w:rPr>
        <w:t xml:space="preserve"> </w:t>
      </w:r>
      <w:r w:rsidR="00E5153B">
        <w:t>Respublikoje.</w:t>
      </w:r>
    </w:p>
    <w:p w14:paraId="03BD2F7A" w14:textId="77777777" w:rsidR="00E301B3" w:rsidRDefault="00A13237" w:rsidP="00E5153B">
      <w:pPr>
        <w:tabs>
          <w:tab w:val="left" w:pos="1095"/>
        </w:tabs>
        <w:ind w:left="119" w:right="135" w:firstLine="567"/>
        <w:jc w:val="both"/>
      </w:pPr>
      <w:r w:rsidR="00E5153B">
        <w:rPr>
          <w:szCs w:val="24"/>
          <w:lang w:val="en-US" w:bidi="en-US"/>
        </w:rPr>
        <w:t>11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>Nacionalinės lėšos, skirtos  mokslo ir studijų institucijų darbuotojų komandiruotėms užsienyje, naudojamos laikantis šios</w:t>
      </w:r>
      <w:r w:rsidR="00E5153B">
        <w:rPr>
          <w:spacing w:val="-2"/>
        </w:rPr>
        <w:t xml:space="preserve"> </w:t>
      </w:r>
      <w:r w:rsidR="00E5153B">
        <w:t>tvarkos:</w:t>
      </w:r>
    </w:p>
    <w:p w14:paraId="03BD2F7B" w14:textId="77777777" w:rsidR="00E301B3" w:rsidRDefault="00A13237" w:rsidP="00E5153B">
      <w:pPr>
        <w:tabs>
          <w:tab w:val="left" w:pos="1282"/>
        </w:tabs>
        <w:ind w:left="119" w:right="132" w:firstLine="567"/>
        <w:jc w:val="both"/>
      </w:pPr>
      <w:r w:rsidR="00E5153B">
        <w:rPr>
          <w:szCs w:val="24"/>
          <w:lang w:val="en-US" w:bidi="en-US"/>
        </w:rPr>
        <w:t>11.1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>Nacionalinės lėšos gali būti skiriamos tik toms Institucijoms, kurios įgyvendina „</w:t>
      </w:r>
      <w:proofErr w:type="spellStart"/>
      <w:r w:rsidR="00E5153B">
        <w:t>Erasmus</w:t>
      </w:r>
      <w:proofErr w:type="spellEnd"/>
      <w:r w:rsidR="00E5153B">
        <w:t>+“ arba „</w:t>
      </w:r>
      <w:proofErr w:type="spellStart"/>
      <w:r w:rsidR="00E5153B">
        <w:t>Nordplus</w:t>
      </w:r>
      <w:proofErr w:type="spellEnd"/>
      <w:r w:rsidR="00E5153B">
        <w:t xml:space="preserve">“ programas </w:t>
      </w:r>
      <w:r w:rsidR="00E5153B">
        <w:rPr>
          <w:spacing w:val="-5"/>
        </w:rPr>
        <w:t xml:space="preserve">ir </w:t>
      </w:r>
      <w:r w:rsidR="00E5153B">
        <w:t xml:space="preserve">tarptautines jungtines studijų programas, vadovaujantis programų reikalavimais </w:t>
      </w:r>
      <w:r w:rsidR="00E5153B">
        <w:rPr>
          <w:spacing w:val="-3"/>
        </w:rPr>
        <w:t xml:space="preserve">ir </w:t>
      </w:r>
      <w:r w:rsidR="00E5153B">
        <w:t>4 punkte nurodytu Fondo direktoriaus įsakymu;</w:t>
      </w:r>
    </w:p>
    <w:p w14:paraId="03BD2F7C" w14:textId="77777777" w:rsidR="00E301B3" w:rsidRDefault="00A13237" w:rsidP="00E5153B">
      <w:pPr>
        <w:tabs>
          <w:tab w:val="left" w:pos="1330"/>
        </w:tabs>
        <w:ind w:left="119" w:right="119" w:firstLine="567"/>
        <w:jc w:val="both"/>
      </w:pPr>
      <w:r w:rsidR="00E5153B">
        <w:rPr>
          <w:szCs w:val="24"/>
          <w:lang w:val="en-US" w:bidi="en-US"/>
        </w:rPr>
        <w:t>11.2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>asmenims, vykstantiems į komandiruotes užsienyje pagal „</w:t>
      </w:r>
      <w:proofErr w:type="spellStart"/>
      <w:r w:rsidR="00E5153B">
        <w:t>Erasmus</w:t>
      </w:r>
      <w:proofErr w:type="spellEnd"/>
      <w:r w:rsidR="00E5153B">
        <w:t xml:space="preserve">+“ programą </w:t>
      </w:r>
      <w:r w:rsidR="00E5153B">
        <w:rPr>
          <w:spacing w:val="-5"/>
        </w:rPr>
        <w:t xml:space="preserve">ir </w:t>
      </w:r>
      <w:r w:rsidR="00E5153B">
        <w:t>tarptautines jungtines programas, apmokamos kelionės išlaidos, kurios apskaičiuojamos pagal Europos Komisijos patvirtintą „</w:t>
      </w:r>
      <w:proofErr w:type="spellStart"/>
      <w:r w:rsidR="00E5153B">
        <w:t>Erasmus</w:t>
      </w:r>
      <w:proofErr w:type="spellEnd"/>
      <w:r w:rsidR="00E5153B">
        <w:t>+“ programos</w:t>
      </w:r>
      <w:r w:rsidR="00E5153B">
        <w:rPr>
          <w:spacing w:val="-15"/>
        </w:rPr>
        <w:t xml:space="preserve"> </w:t>
      </w:r>
      <w:r w:rsidR="00E5153B">
        <w:t>vadovą;</w:t>
      </w:r>
    </w:p>
    <w:p w14:paraId="03BD2F7D" w14:textId="77777777" w:rsidR="00E301B3" w:rsidRDefault="00A13237" w:rsidP="00E5153B">
      <w:pPr>
        <w:tabs>
          <w:tab w:val="left" w:pos="1330"/>
        </w:tabs>
        <w:ind w:left="119" w:right="115" w:firstLine="567"/>
        <w:jc w:val="both"/>
      </w:pPr>
      <w:r w:rsidR="00E5153B">
        <w:rPr>
          <w:szCs w:val="24"/>
          <w:lang w:val="en-US" w:bidi="en-US"/>
        </w:rPr>
        <w:t>11.3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>asmenims, vykstantiems į komandiruotes užsienyje pagal „</w:t>
      </w:r>
      <w:proofErr w:type="spellStart"/>
      <w:r w:rsidR="00E5153B">
        <w:t>Erasmus</w:t>
      </w:r>
      <w:proofErr w:type="spellEnd"/>
      <w:r w:rsidR="00E5153B">
        <w:t xml:space="preserve">+“ programą </w:t>
      </w:r>
      <w:r w:rsidR="00E5153B">
        <w:rPr>
          <w:spacing w:val="-5"/>
        </w:rPr>
        <w:t xml:space="preserve">ir </w:t>
      </w:r>
      <w:r w:rsidR="00E5153B">
        <w:t>tarptautines jungtinių studijų programas, pragyvenimo išlaidos apskaičiuojamos pagal Europos Komisijos patvirtintą „</w:t>
      </w:r>
      <w:proofErr w:type="spellStart"/>
      <w:r w:rsidR="00E5153B">
        <w:t>Erasmus</w:t>
      </w:r>
      <w:proofErr w:type="spellEnd"/>
      <w:r w:rsidR="00E5153B">
        <w:t>+“ programos vadovą, atsižvelgiant į pragyvenimo lygį užsienio valstybėse. Užsienio valstybės skirstomos į keturias grupes, kaip nurodyta 11.4 papunktyje;</w:t>
      </w:r>
    </w:p>
    <w:p w14:paraId="03BD2F7E" w14:textId="77777777" w:rsidR="00E301B3" w:rsidRDefault="00A13237" w:rsidP="00E5153B">
      <w:pPr>
        <w:tabs>
          <w:tab w:val="left" w:pos="1282"/>
        </w:tabs>
        <w:ind w:left="119" w:right="134" w:firstLine="567"/>
        <w:jc w:val="both"/>
      </w:pPr>
      <w:r w:rsidR="00E5153B">
        <w:rPr>
          <w:szCs w:val="24"/>
          <w:lang w:val="en-US" w:bidi="en-US"/>
        </w:rPr>
        <w:t>11.4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 xml:space="preserve">Nacionalinių lėšų, skirtų komandiruočių užsienyje pragyvenimo išlaidoms apmokėti, skiriama fiksuota </w:t>
      </w:r>
      <w:r w:rsidR="00E5153B">
        <w:rPr>
          <w:spacing w:val="-3"/>
        </w:rPr>
        <w:t xml:space="preserve">suma </w:t>
      </w:r>
      <w:r w:rsidR="00E5153B">
        <w:t>pagal atitinkamą užsienio valstybių grupę, nurodyta lentelėje Nr. 2;</w:t>
      </w:r>
    </w:p>
    <w:p w14:paraId="03BD2F7F" w14:textId="77777777" w:rsidR="00E301B3" w:rsidRDefault="00E301B3" w:rsidP="00E5153B">
      <w:pPr>
        <w:widowControl w:val="0"/>
        <w:tabs>
          <w:tab w:val="left" w:pos="1282"/>
        </w:tabs>
        <w:ind w:left="686" w:right="134"/>
        <w:jc w:val="both"/>
        <w:rPr>
          <w:szCs w:val="22"/>
          <w:lang w:bidi="en-US"/>
        </w:rPr>
      </w:pPr>
    </w:p>
    <w:p w14:paraId="03BD2F80" w14:textId="77777777" w:rsidR="00E301B3" w:rsidRDefault="00E5153B" w:rsidP="00E5153B">
      <w:pPr>
        <w:widowControl w:val="0"/>
        <w:tabs>
          <w:tab w:val="left" w:pos="1282"/>
        </w:tabs>
        <w:ind w:left="119" w:right="134"/>
        <w:jc w:val="both"/>
        <w:rPr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Lentelė Nr. 2.</w:t>
      </w:r>
      <w:r>
        <w:rPr>
          <w:sz w:val="22"/>
          <w:szCs w:val="22"/>
          <w:lang w:bidi="en-US"/>
        </w:rPr>
        <w:t xml:space="preserve"> </w:t>
      </w:r>
      <w:r>
        <w:rPr>
          <w:szCs w:val="22"/>
          <w:lang w:bidi="en-US"/>
        </w:rPr>
        <w:t>Nacionalinės lėšos, skirtos   komandiruočių užsienyje pragyvenimo išlaidoms apmokėti.</w:t>
      </w:r>
    </w:p>
    <w:tbl>
      <w:tblPr>
        <w:tblW w:w="4953" w:type="pct"/>
        <w:tblInd w:w="-8" w:type="dxa"/>
        <w:tblLook w:val="04A0" w:firstRow="1" w:lastRow="0" w:firstColumn="1" w:lastColumn="0" w:noHBand="0" w:noVBand="1"/>
      </w:tblPr>
      <w:tblGrid>
        <w:gridCol w:w="1416"/>
        <w:gridCol w:w="6514"/>
        <w:gridCol w:w="1839"/>
      </w:tblGrid>
      <w:tr w:rsidR="00E301B3" w14:paraId="03BD2F84" w14:textId="77777777">
        <w:trPr>
          <w:cantSplit/>
          <w:trHeight w:val="301"/>
        </w:trPr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2F81" w14:textId="77777777" w:rsidR="00E301B3" w:rsidRDefault="00E301B3" w:rsidP="00E5153B">
            <w:pPr>
              <w:widowControl w:val="0"/>
              <w:suppressAutoHyphens/>
              <w:jc w:val="both"/>
              <w:textAlignment w:val="baseline"/>
              <w:rPr>
                <w:rFonts w:eastAsia="SimSun"/>
                <w:b/>
                <w:kern w:val="3"/>
                <w:sz w:val="20"/>
                <w:lang w:eastAsia="zh-CN" w:bidi="en-US"/>
              </w:rPr>
            </w:pPr>
          </w:p>
        </w:tc>
        <w:tc>
          <w:tcPr>
            <w:tcW w:w="3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D2F82" w14:textId="77777777" w:rsidR="00E301B3" w:rsidRDefault="00E5153B" w:rsidP="00E5153B">
            <w:pPr>
              <w:widowControl w:val="0"/>
              <w:suppressAutoHyphens/>
              <w:jc w:val="both"/>
              <w:textAlignment w:val="baseline"/>
              <w:rPr>
                <w:rFonts w:eastAsia="SimSun"/>
                <w:kern w:val="3"/>
                <w:sz w:val="20"/>
                <w:lang w:eastAsia="zh-CN" w:bidi="en-US"/>
              </w:rPr>
            </w:pPr>
            <w:r>
              <w:rPr>
                <w:rFonts w:eastAsia="SimSun"/>
                <w:b/>
                <w:kern w:val="3"/>
                <w:sz w:val="20"/>
                <w:lang w:eastAsia="zh-CN"/>
              </w:rPr>
              <w:t>Priimanti šalis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D2F83" w14:textId="77777777" w:rsidR="00E301B3" w:rsidRDefault="00E5153B" w:rsidP="00E5153B">
            <w:pPr>
              <w:widowControl w:val="0"/>
              <w:suppressAutoHyphens/>
              <w:jc w:val="both"/>
              <w:textAlignment w:val="baseline"/>
              <w:rPr>
                <w:rFonts w:eastAsia="SimSun"/>
                <w:b/>
                <w:kern w:val="3"/>
                <w:sz w:val="20"/>
                <w:lang w:eastAsia="zh-CN" w:bidi="en-US"/>
              </w:rPr>
            </w:pPr>
            <w:r>
              <w:rPr>
                <w:rFonts w:eastAsia="SimSun"/>
                <w:b/>
                <w:kern w:val="3"/>
                <w:sz w:val="20"/>
                <w:lang w:eastAsia="zh-CN"/>
              </w:rPr>
              <w:t>Suma dienai, EUR</w:t>
            </w:r>
          </w:p>
        </w:tc>
      </w:tr>
      <w:tr w:rsidR="00E301B3" w14:paraId="03BD2F88" w14:textId="77777777">
        <w:trPr>
          <w:trHeight w:val="544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2F85" w14:textId="77777777" w:rsidR="00E301B3" w:rsidRDefault="00E5153B" w:rsidP="00E5153B">
            <w:pPr>
              <w:widowControl w:val="0"/>
              <w:jc w:val="both"/>
              <w:rPr>
                <w:szCs w:val="24"/>
                <w:lang w:bidi="en-US"/>
              </w:rPr>
            </w:pPr>
            <w:r>
              <w:rPr>
                <w:b/>
                <w:szCs w:val="24"/>
                <w:lang w:eastAsia="ja-JP"/>
              </w:rPr>
              <w:t>1 grupė</w:t>
            </w:r>
          </w:p>
        </w:tc>
        <w:tc>
          <w:tcPr>
            <w:tcW w:w="3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D2F86" w14:textId="77777777" w:rsidR="00E301B3" w:rsidRDefault="00E5153B" w:rsidP="00E5153B">
            <w:pPr>
              <w:widowControl w:val="0"/>
              <w:jc w:val="both"/>
              <w:rPr>
                <w:rFonts w:eastAsia="SimSun"/>
                <w:bCs/>
                <w:kern w:val="3"/>
                <w:szCs w:val="24"/>
                <w:lang w:eastAsia="zh-CN" w:bidi="en-US"/>
              </w:rPr>
            </w:pPr>
            <w:r>
              <w:rPr>
                <w:szCs w:val="24"/>
              </w:rPr>
              <w:t>Danija, Suomija, Islandija, Airija, Liuksemburgas, Švedija, Jungtinė Karalystė, Lichtenšteinas, Norvegija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D2F87" w14:textId="77777777" w:rsidR="00E301B3" w:rsidRDefault="00E5153B" w:rsidP="00E5153B">
            <w:pPr>
              <w:widowControl w:val="0"/>
              <w:jc w:val="both"/>
              <w:rPr>
                <w:rFonts w:eastAsia="SimSun"/>
                <w:kern w:val="3"/>
                <w:szCs w:val="24"/>
                <w:lang w:eastAsia="zh-CN" w:bidi="en-US"/>
              </w:rPr>
            </w:pPr>
            <w:r>
              <w:rPr>
                <w:rFonts w:eastAsia="SimSun"/>
                <w:kern w:val="3"/>
                <w:szCs w:val="24"/>
                <w:lang w:eastAsia="zh-CN"/>
              </w:rPr>
              <w:t>153</w:t>
            </w:r>
          </w:p>
        </w:tc>
      </w:tr>
      <w:tr w:rsidR="00E301B3" w14:paraId="03BD2F8C" w14:textId="77777777">
        <w:trPr>
          <w:trHeight w:val="41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2F89" w14:textId="77777777" w:rsidR="00E301B3" w:rsidRDefault="00E5153B" w:rsidP="00E5153B">
            <w:pPr>
              <w:widowControl w:val="0"/>
              <w:jc w:val="both"/>
              <w:rPr>
                <w:szCs w:val="24"/>
                <w:lang w:bidi="en-US"/>
              </w:rPr>
            </w:pPr>
            <w:r>
              <w:rPr>
                <w:b/>
                <w:szCs w:val="24"/>
                <w:lang w:eastAsia="ja-JP"/>
              </w:rPr>
              <w:t xml:space="preserve">2 grupė </w:t>
            </w:r>
          </w:p>
        </w:tc>
        <w:tc>
          <w:tcPr>
            <w:tcW w:w="3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D2F8A" w14:textId="77777777" w:rsidR="00E301B3" w:rsidRDefault="00E5153B" w:rsidP="00E5153B">
            <w:pPr>
              <w:widowControl w:val="0"/>
              <w:jc w:val="both"/>
              <w:rPr>
                <w:rFonts w:eastAsia="SimSun"/>
                <w:bCs/>
                <w:kern w:val="3"/>
                <w:szCs w:val="24"/>
                <w:lang w:eastAsia="zh-CN" w:bidi="en-US"/>
              </w:rPr>
            </w:pPr>
            <w:r>
              <w:rPr>
                <w:szCs w:val="24"/>
              </w:rPr>
              <w:t xml:space="preserve">Austrija, Belgija, Vokietija, Prancūzija, Italija, Graikija, Ispanija, Kipras, Nyderlandai, Malta, Portugalija 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D2F8B" w14:textId="77777777" w:rsidR="00E301B3" w:rsidRDefault="00E5153B" w:rsidP="00E5153B">
            <w:pPr>
              <w:widowControl w:val="0"/>
              <w:jc w:val="both"/>
              <w:rPr>
                <w:rFonts w:eastAsia="SimSun"/>
                <w:kern w:val="3"/>
                <w:szCs w:val="24"/>
                <w:lang w:eastAsia="zh-CN" w:bidi="en-US"/>
              </w:rPr>
            </w:pPr>
            <w:r>
              <w:rPr>
                <w:rFonts w:eastAsia="SimSun"/>
                <w:kern w:val="3"/>
                <w:szCs w:val="24"/>
                <w:lang w:eastAsia="zh-CN"/>
              </w:rPr>
              <w:t>136</w:t>
            </w:r>
          </w:p>
        </w:tc>
      </w:tr>
      <w:tr w:rsidR="00E301B3" w14:paraId="03BD2F90" w14:textId="77777777">
        <w:trPr>
          <w:trHeight w:val="644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2F8D" w14:textId="77777777" w:rsidR="00E301B3" w:rsidRDefault="00E5153B" w:rsidP="00E5153B">
            <w:pPr>
              <w:widowControl w:val="0"/>
              <w:jc w:val="both"/>
              <w:rPr>
                <w:szCs w:val="24"/>
                <w:lang w:bidi="en-US"/>
              </w:rPr>
            </w:pPr>
            <w:r>
              <w:rPr>
                <w:b/>
                <w:szCs w:val="24"/>
                <w:lang w:eastAsia="ja-JP"/>
              </w:rPr>
              <w:t>3 grupė</w:t>
            </w:r>
          </w:p>
        </w:tc>
        <w:tc>
          <w:tcPr>
            <w:tcW w:w="3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D2F8E" w14:textId="77777777" w:rsidR="00E301B3" w:rsidRDefault="00E5153B" w:rsidP="00E5153B">
            <w:pPr>
              <w:widowControl w:val="0"/>
              <w:jc w:val="both"/>
              <w:rPr>
                <w:rFonts w:eastAsia="SimSun"/>
                <w:bCs/>
                <w:kern w:val="3"/>
                <w:szCs w:val="24"/>
                <w:lang w:eastAsia="zh-CN" w:bidi="en-US"/>
              </w:rPr>
            </w:pPr>
            <w:r>
              <w:rPr>
                <w:szCs w:val="24"/>
              </w:rPr>
              <w:t>Bulgarija, Kroatija, Čekija, Estija, Latvija, Lietuva, Vengrija, Lenkija, Rumunija, Serbija, Slovakija, Slovėnija, Makedonija, Turkija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D2F8F" w14:textId="77777777" w:rsidR="00E301B3" w:rsidRDefault="00E5153B" w:rsidP="00E5153B">
            <w:pPr>
              <w:widowControl w:val="0"/>
              <w:jc w:val="both"/>
              <w:rPr>
                <w:rFonts w:eastAsia="SimSun"/>
                <w:kern w:val="3"/>
                <w:szCs w:val="24"/>
                <w:lang w:eastAsia="zh-CN" w:bidi="en-US"/>
              </w:rPr>
            </w:pPr>
            <w:r>
              <w:rPr>
                <w:rFonts w:eastAsia="SimSun"/>
                <w:kern w:val="3"/>
                <w:szCs w:val="24"/>
                <w:lang w:eastAsia="zh-CN"/>
              </w:rPr>
              <w:t>119</w:t>
            </w:r>
          </w:p>
        </w:tc>
      </w:tr>
      <w:tr w:rsidR="00E301B3" w14:paraId="03BD2F94" w14:textId="77777777">
        <w:trPr>
          <w:trHeight w:val="272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2F91" w14:textId="77777777" w:rsidR="00E301B3" w:rsidRDefault="00E5153B" w:rsidP="00E5153B">
            <w:pPr>
              <w:widowControl w:val="0"/>
              <w:jc w:val="both"/>
              <w:rPr>
                <w:szCs w:val="24"/>
                <w:lang w:bidi="en-US"/>
              </w:rPr>
            </w:pPr>
            <w:r>
              <w:rPr>
                <w:b/>
                <w:szCs w:val="24"/>
                <w:lang w:eastAsia="ja-JP"/>
              </w:rPr>
              <w:t>4 grupė</w:t>
            </w:r>
          </w:p>
        </w:tc>
        <w:tc>
          <w:tcPr>
            <w:tcW w:w="3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D2F92" w14:textId="77777777" w:rsidR="00E301B3" w:rsidRDefault="00E5153B" w:rsidP="00E5153B">
            <w:pPr>
              <w:widowControl w:val="0"/>
              <w:jc w:val="both"/>
              <w:rPr>
                <w:szCs w:val="24"/>
                <w:lang w:bidi="en-US"/>
              </w:rPr>
            </w:pPr>
            <w:r>
              <w:rPr>
                <w:szCs w:val="24"/>
              </w:rPr>
              <w:t>Kitos šalys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D2F93" w14:textId="77777777" w:rsidR="00E301B3" w:rsidRDefault="00E5153B" w:rsidP="00E5153B">
            <w:pPr>
              <w:widowControl w:val="0"/>
              <w:jc w:val="both"/>
              <w:rPr>
                <w:rFonts w:eastAsia="SimSun"/>
                <w:kern w:val="3"/>
                <w:szCs w:val="24"/>
                <w:lang w:eastAsia="zh-CN" w:bidi="en-US"/>
              </w:rPr>
            </w:pPr>
            <w:r>
              <w:rPr>
                <w:rFonts w:eastAsia="SimSun"/>
                <w:kern w:val="3"/>
                <w:szCs w:val="24"/>
                <w:lang w:eastAsia="zh-CN"/>
              </w:rPr>
              <w:t>180</w:t>
            </w:r>
          </w:p>
        </w:tc>
      </w:tr>
    </w:tbl>
    <w:p w14:paraId="03BD2F95" w14:textId="77777777" w:rsidR="00E301B3" w:rsidRDefault="00A13237" w:rsidP="00E5153B">
      <w:pPr>
        <w:tabs>
          <w:tab w:val="left" w:pos="1282"/>
        </w:tabs>
        <w:ind w:right="134"/>
        <w:jc w:val="both"/>
        <w:rPr>
          <w:szCs w:val="22"/>
          <w:lang w:bidi="en-US"/>
        </w:rPr>
      </w:pPr>
    </w:p>
    <w:p w14:paraId="03BD2F96" w14:textId="77777777" w:rsidR="00E301B3" w:rsidRDefault="00A13237" w:rsidP="00E5153B">
      <w:pPr>
        <w:tabs>
          <w:tab w:val="left" w:pos="1282"/>
        </w:tabs>
        <w:ind w:left="119" w:right="134" w:firstLine="567"/>
        <w:jc w:val="both"/>
        <w:rPr>
          <w:szCs w:val="24"/>
        </w:rPr>
      </w:pPr>
      <w:r w:rsidR="00E5153B">
        <w:rPr>
          <w:szCs w:val="24"/>
          <w:lang w:val="en-US" w:bidi="en-US"/>
        </w:rPr>
        <w:t>11.5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 xml:space="preserve">suma dienai skaičiuojama tokiu būdu: iki 14-os veiklos dienos imtinai – suma vieno </w:t>
      </w:r>
      <w:r w:rsidR="00E5153B">
        <w:rPr>
          <w:szCs w:val="24"/>
        </w:rPr>
        <w:t>dalyvio dienai, kaip nurodyta lentelėje Nr. 2, nuo 15-os iki 60-os veiklos dienos – 70 proc. lentelėje Nr. 2 nurodytos sumos vieno dalyvio dienai;</w:t>
      </w:r>
    </w:p>
    <w:p w14:paraId="03BD2F97" w14:textId="77777777" w:rsidR="00E301B3" w:rsidRDefault="00A13237" w:rsidP="00E5153B">
      <w:pPr>
        <w:tabs>
          <w:tab w:val="left" w:pos="1282"/>
        </w:tabs>
        <w:ind w:left="119" w:right="134" w:firstLine="567"/>
        <w:jc w:val="both"/>
        <w:rPr>
          <w:szCs w:val="24"/>
        </w:rPr>
      </w:pPr>
      <w:r w:rsidR="00E5153B">
        <w:rPr>
          <w:szCs w:val="24"/>
          <w:lang w:val="en-US" w:bidi="en-US"/>
        </w:rPr>
        <w:t>11.6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rPr>
          <w:szCs w:val="24"/>
        </w:rPr>
        <w:t>dėstytojų mobilumo pagal „</w:t>
      </w:r>
      <w:proofErr w:type="spellStart"/>
      <w:r w:rsidR="00E5153B">
        <w:rPr>
          <w:szCs w:val="24"/>
        </w:rPr>
        <w:t>Nordplus</w:t>
      </w:r>
      <w:proofErr w:type="spellEnd"/>
      <w:r w:rsidR="00E5153B">
        <w:rPr>
          <w:szCs w:val="24"/>
        </w:rPr>
        <w:t>“ programą atveju Nacionalinės lėšos  komandiruotėms mokamos tik vykstant į šioje programoje dalyvaujančias šalis,</w:t>
      </w:r>
      <w:r w:rsidR="00E5153B">
        <w:rPr>
          <w:spacing w:val="30"/>
          <w:szCs w:val="24"/>
        </w:rPr>
        <w:t xml:space="preserve"> </w:t>
      </w:r>
      <w:r w:rsidR="00E5153B">
        <w:rPr>
          <w:szCs w:val="24"/>
        </w:rPr>
        <w:t>vadovaujantis „</w:t>
      </w:r>
      <w:proofErr w:type="spellStart"/>
      <w:r w:rsidR="00E5153B">
        <w:rPr>
          <w:szCs w:val="24"/>
        </w:rPr>
        <w:t>Nordplus</w:t>
      </w:r>
      <w:proofErr w:type="spellEnd"/>
      <w:r w:rsidR="00E5153B">
        <w:rPr>
          <w:szCs w:val="24"/>
        </w:rPr>
        <w:t>“ programos numatytais reikalavimais komandiruočių išlaidoms padengti;</w:t>
      </w:r>
    </w:p>
    <w:p w14:paraId="03BD2F98" w14:textId="77777777" w:rsidR="00E301B3" w:rsidRDefault="00A13237" w:rsidP="00E5153B">
      <w:pPr>
        <w:tabs>
          <w:tab w:val="left" w:pos="1315"/>
        </w:tabs>
        <w:ind w:left="119" w:right="136" w:firstLine="567"/>
        <w:jc w:val="both"/>
        <w:rPr>
          <w:szCs w:val="24"/>
        </w:rPr>
      </w:pPr>
      <w:r w:rsidR="00E5153B">
        <w:rPr>
          <w:szCs w:val="24"/>
          <w:lang w:val="en-US" w:bidi="en-US"/>
        </w:rPr>
        <w:t>11.7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rPr>
          <w:szCs w:val="24"/>
        </w:rPr>
        <w:t xml:space="preserve">užsienio šalių piliečiams Nacionalinės lėšos komandiruotėms užsienyje apmokėti skiriamos, jei šie piliečiai dirba pagal darbo sutartis, sudarytas su Institucija, </w:t>
      </w:r>
      <w:r w:rsidR="00E5153B">
        <w:rPr>
          <w:spacing w:val="-5"/>
          <w:szCs w:val="24"/>
        </w:rPr>
        <w:t xml:space="preserve">ir </w:t>
      </w:r>
      <w:r w:rsidR="00E5153B">
        <w:rPr>
          <w:szCs w:val="24"/>
        </w:rPr>
        <w:t>turi leidimą laikinai arba nuolat gyventi Lietuvos</w:t>
      </w:r>
      <w:r w:rsidR="00E5153B">
        <w:rPr>
          <w:spacing w:val="1"/>
          <w:szCs w:val="24"/>
        </w:rPr>
        <w:t xml:space="preserve"> </w:t>
      </w:r>
      <w:r w:rsidR="00E5153B">
        <w:rPr>
          <w:szCs w:val="24"/>
        </w:rPr>
        <w:t>Respublikoje.</w:t>
      </w:r>
    </w:p>
    <w:p w14:paraId="03BD2F99" w14:textId="77777777" w:rsidR="00E301B3" w:rsidRDefault="00A13237" w:rsidP="00E5153B">
      <w:pPr>
        <w:jc w:val="both"/>
        <w:rPr>
          <w:sz w:val="6"/>
          <w:szCs w:val="6"/>
        </w:rPr>
      </w:pPr>
    </w:p>
    <w:p w14:paraId="03BD2F9A" w14:textId="77777777" w:rsidR="00E301B3" w:rsidRDefault="00A13237" w:rsidP="00E5153B">
      <w:pPr>
        <w:tabs>
          <w:tab w:val="left" w:pos="1195"/>
        </w:tabs>
        <w:ind w:left="119" w:right="135" w:firstLine="567"/>
        <w:jc w:val="both"/>
      </w:pPr>
      <w:r w:rsidR="00E5153B">
        <w:rPr>
          <w:szCs w:val="24"/>
          <w:lang w:val="en-US" w:bidi="en-US"/>
        </w:rPr>
        <w:t>12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 xml:space="preserve">Nacionalinės lėšos, skirtos tarptautinių mainų programų veikloms organizuoti, naudojamos, vadovaujantis Institucijų nustatyta </w:t>
      </w:r>
      <w:r w:rsidR="00E5153B">
        <w:rPr>
          <w:spacing w:val="-3"/>
        </w:rPr>
        <w:t xml:space="preserve">lėšų </w:t>
      </w:r>
      <w:r w:rsidR="00E5153B">
        <w:t>apskaitos tvarka šiems</w:t>
      </w:r>
      <w:r w:rsidR="00E5153B">
        <w:rPr>
          <w:spacing w:val="2"/>
        </w:rPr>
        <w:t xml:space="preserve"> </w:t>
      </w:r>
      <w:r w:rsidR="00E5153B">
        <w:t>tikslams:</w:t>
      </w:r>
    </w:p>
    <w:p w14:paraId="03BD2F9B" w14:textId="77777777" w:rsidR="00E301B3" w:rsidRDefault="00A13237" w:rsidP="00E5153B">
      <w:pPr>
        <w:tabs>
          <w:tab w:val="left" w:pos="1339"/>
        </w:tabs>
        <w:spacing w:line="271" w:lineRule="exact"/>
        <w:ind w:left="119" w:firstLine="567"/>
        <w:jc w:val="both"/>
      </w:pPr>
      <w:r w:rsidR="00E5153B">
        <w:rPr>
          <w:szCs w:val="24"/>
          <w:lang w:val="en-US" w:bidi="en-US"/>
        </w:rPr>
        <w:t>12.1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>užsienio valstybių aukštųjų mokyklų studentų, atvykstančių į Institucijas</w:t>
      </w:r>
      <w:r w:rsidR="00E5153B">
        <w:rPr>
          <w:spacing w:val="-3"/>
        </w:rPr>
        <w:t xml:space="preserve"> </w:t>
      </w:r>
      <w:r w:rsidR="00E5153B">
        <w:t>pagal</w:t>
      </w:r>
    </w:p>
    <w:p w14:paraId="03BD2F9C" w14:textId="77777777" w:rsidR="00E301B3" w:rsidRDefault="00E5153B" w:rsidP="00E5153B">
      <w:pPr>
        <w:widowControl w:val="0"/>
        <w:ind w:left="119" w:right="128"/>
        <w:jc w:val="both"/>
        <w:rPr>
          <w:szCs w:val="24"/>
          <w:lang w:bidi="en-US"/>
        </w:rPr>
      </w:pPr>
      <w:r>
        <w:rPr>
          <w:szCs w:val="24"/>
          <w:lang w:bidi="en-US"/>
        </w:rPr>
        <w:t>„</w:t>
      </w:r>
      <w:proofErr w:type="spellStart"/>
      <w:r>
        <w:rPr>
          <w:szCs w:val="24"/>
          <w:lang w:bidi="en-US"/>
        </w:rPr>
        <w:t>Erasmus</w:t>
      </w:r>
      <w:proofErr w:type="spellEnd"/>
      <w:r>
        <w:rPr>
          <w:szCs w:val="24"/>
          <w:lang w:bidi="en-US"/>
        </w:rPr>
        <w:t>+“ ir „</w:t>
      </w:r>
      <w:proofErr w:type="spellStart"/>
      <w:r>
        <w:rPr>
          <w:szCs w:val="24"/>
          <w:lang w:bidi="en-US"/>
        </w:rPr>
        <w:t>Nordplus</w:t>
      </w:r>
      <w:proofErr w:type="spellEnd"/>
      <w:r>
        <w:rPr>
          <w:szCs w:val="24"/>
          <w:lang w:bidi="en-US"/>
        </w:rPr>
        <w:t xml:space="preserve">“ programas (toliau – studentai užsieniečiai), studijoms Lietuvoje organizuoti (studijų programoms ar moduliams užsienio kalba parengti, literatūrai, kurios reikia studijų programai parengti, įsigyti, </w:t>
      </w:r>
      <w:proofErr w:type="spellStart"/>
      <w:r>
        <w:rPr>
          <w:szCs w:val="24"/>
          <w:lang w:bidi="en-US"/>
        </w:rPr>
        <w:t>mentorių</w:t>
      </w:r>
      <w:proofErr w:type="spellEnd"/>
      <w:r>
        <w:rPr>
          <w:szCs w:val="24"/>
          <w:lang w:bidi="en-US"/>
        </w:rPr>
        <w:t xml:space="preserve"> veikloms remti, dėstytojų darbui su studentais užsieniečiais apmokėti, užsieniečio studento laisvai pasirenkamajam dalykui kitoje Institucijoje apmokėti, kultūrinei programai ir renginiams studentams užsieniečiams organizuoti, intensyviems lietuvių kalbos ir kultūros kursams organizuoti);</w:t>
      </w:r>
    </w:p>
    <w:p w14:paraId="03BD2F9D" w14:textId="77777777" w:rsidR="00E301B3" w:rsidRDefault="00A13237" w:rsidP="00E5153B">
      <w:pPr>
        <w:tabs>
          <w:tab w:val="left" w:pos="1282"/>
        </w:tabs>
        <w:ind w:left="119" w:right="125" w:firstLine="567"/>
        <w:jc w:val="both"/>
      </w:pPr>
      <w:r w:rsidR="00E5153B">
        <w:rPr>
          <w:szCs w:val="24"/>
          <w:lang w:val="en-US" w:bidi="en-US"/>
        </w:rPr>
        <w:t>12.2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 xml:space="preserve">Institucijų studentų, dėstytojų </w:t>
      </w:r>
      <w:r w:rsidR="00E5153B">
        <w:rPr>
          <w:spacing w:val="-3"/>
        </w:rPr>
        <w:t xml:space="preserve">ir </w:t>
      </w:r>
      <w:r w:rsidR="00E5153B">
        <w:t xml:space="preserve">kito personalo mobilumui pagal tarptautines mainų programas organizuoti (vykti į užsienio valstybių aukštąsias mokyklas, </w:t>
      </w:r>
      <w:r w:rsidR="00E5153B">
        <w:rPr>
          <w:spacing w:val="-3"/>
        </w:rPr>
        <w:t xml:space="preserve">įmones, </w:t>
      </w:r>
      <w:r w:rsidR="00E5153B">
        <w:t xml:space="preserve">lituanistines mokyklas </w:t>
      </w:r>
      <w:r w:rsidR="00E5153B">
        <w:rPr>
          <w:spacing w:val="-3"/>
        </w:rPr>
        <w:t xml:space="preserve">mobilumo </w:t>
      </w:r>
      <w:r w:rsidR="00E5153B">
        <w:t xml:space="preserve">organizavimo klausimais; dalyvauti tarptautiniuose tinkluose, seminaruose, mokymuose, konferencijose, parodose, susijusiose tik su šių programų įgyvendinimu; viešinti tarptautines aukštojo </w:t>
      </w:r>
      <w:r w:rsidR="00E5153B">
        <w:rPr>
          <w:spacing w:val="-3"/>
        </w:rPr>
        <w:t xml:space="preserve">mokslo </w:t>
      </w:r>
      <w:r w:rsidR="00E5153B">
        <w:t xml:space="preserve">programas; kurti sklaidos </w:t>
      </w:r>
      <w:r w:rsidR="00E5153B">
        <w:rPr>
          <w:spacing w:val="-5"/>
        </w:rPr>
        <w:t xml:space="preserve">ir </w:t>
      </w:r>
      <w:r w:rsidR="00E5153B">
        <w:t>informacines</w:t>
      </w:r>
      <w:r w:rsidR="00E5153B">
        <w:rPr>
          <w:spacing w:val="17"/>
        </w:rPr>
        <w:t xml:space="preserve"> </w:t>
      </w:r>
      <w:r w:rsidR="00E5153B">
        <w:t>priemones).</w:t>
      </w:r>
    </w:p>
    <w:p w14:paraId="03BD2F9E" w14:textId="77777777" w:rsidR="00E301B3" w:rsidRDefault="00A13237" w:rsidP="00E5153B">
      <w:pPr>
        <w:tabs>
          <w:tab w:val="left" w:pos="1051"/>
        </w:tabs>
        <w:ind w:left="119" w:right="128" w:firstLine="567"/>
        <w:jc w:val="both"/>
      </w:pPr>
      <w:r w:rsidR="00E5153B">
        <w:rPr>
          <w:szCs w:val="24"/>
          <w:lang w:val="en-US" w:bidi="en-US"/>
        </w:rPr>
        <w:t>13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 xml:space="preserve">Užsieniečio studento laisvai pasirenkamo dalyko kitoje Institucijoje kaina apskaičiuojama, vadovaujantis Institucijos nustatyta kaina, bet ne didesne nei švietimo, mokslo ir sporto ministro patvirtinta atitinkamais metais priimamų studentų norminė studijų kaina </w:t>
      </w:r>
      <w:r w:rsidR="00E5153B">
        <w:rPr>
          <w:spacing w:val="-3"/>
        </w:rPr>
        <w:t xml:space="preserve">ir </w:t>
      </w:r>
      <w:r w:rsidR="00E5153B">
        <w:t>atsižvelgus į studijų trukmę.</w:t>
      </w:r>
    </w:p>
    <w:p w14:paraId="03BD2F9F" w14:textId="77777777" w:rsidR="00E301B3" w:rsidRDefault="00A13237" w:rsidP="00E5153B">
      <w:pPr>
        <w:tabs>
          <w:tab w:val="left" w:pos="1123"/>
        </w:tabs>
        <w:ind w:left="119" w:right="134" w:firstLine="567"/>
        <w:jc w:val="both"/>
      </w:pPr>
      <w:r w:rsidR="00E5153B">
        <w:rPr>
          <w:szCs w:val="24"/>
          <w:lang w:val="en-US" w:bidi="en-US"/>
        </w:rPr>
        <w:t>14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>Lėšos dėstytojų darbui su studentais užsieniečiais apmokėti naudojamos Institucijos nustatyta tvarka.</w:t>
      </w:r>
    </w:p>
    <w:p w14:paraId="03BD2FA0" w14:textId="77777777" w:rsidR="00E301B3" w:rsidRDefault="00A13237" w:rsidP="00E5153B">
      <w:pPr>
        <w:widowControl w:val="0"/>
        <w:jc w:val="both"/>
        <w:rPr>
          <w:szCs w:val="24"/>
          <w:lang w:bidi="en-US"/>
        </w:rPr>
      </w:pPr>
    </w:p>
    <w:p w14:paraId="03BD2FA1" w14:textId="575173EB" w:rsidR="00E301B3" w:rsidRDefault="00A13237">
      <w:pPr>
        <w:widowControl w:val="0"/>
        <w:spacing w:line="235" w:lineRule="auto"/>
        <w:ind w:right="7"/>
        <w:jc w:val="center"/>
        <w:rPr>
          <w:b/>
          <w:bCs/>
          <w:szCs w:val="24"/>
          <w:lang w:bidi="en-US"/>
        </w:rPr>
      </w:pPr>
      <w:r w:rsidR="00E5153B">
        <w:rPr>
          <w:b/>
          <w:bCs/>
          <w:szCs w:val="24"/>
          <w:lang w:bidi="en-US"/>
        </w:rPr>
        <w:t>III</w:t>
      </w:r>
      <w:r w:rsidR="00E5153B">
        <w:rPr>
          <w:b/>
          <w:bCs/>
          <w:szCs w:val="24"/>
          <w:lang w:bidi="en-US"/>
        </w:rPr>
        <w:t xml:space="preserve"> SKYRIUS </w:t>
      </w:r>
    </w:p>
    <w:p w14:paraId="03BD2FA2" w14:textId="77777777" w:rsidR="00E301B3" w:rsidRDefault="00A13237">
      <w:pPr>
        <w:widowControl w:val="0"/>
        <w:spacing w:line="235" w:lineRule="auto"/>
        <w:ind w:right="7"/>
        <w:jc w:val="center"/>
        <w:rPr>
          <w:b/>
          <w:bCs/>
          <w:szCs w:val="24"/>
          <w:lang w:bidi="en-US"/>
        </w:rPr>
      </w:pPr>
      <w:r w:rsidR="00E5153B">
        <w:rPr>
          <w:b/>
          <w:bCs/>
          <w:szCs w:val="24"/>
          <w:lang w:bidi="en-US"/>
        </w:rPr>
        <w:t>ATSISKAITYMAS UŽ LĖŠŲ NAUDOJIMĄ</w:t>
      </w:r>
    </w:p>
    <w:p w14:paraId="03BD2FA3" w14:textId="77777777" w:rsidR="00E301B3" w:rsidRDefault="00E301B3">
      <w:pPr>
        <w:widowControl w:val="0"/>
        <w:rPr>
          <w:b/>
          <w:sz w:val="23"/>
          <w:szCs w:val="24"/>
          <w:lang w:bidi="en-US"/>
        </w:rPr>
      </w:pPr>
    </w:p>
    <w:p w14:paraId="03BD2FA4" w14:textId="77777777" w:rsidR="00E301B3" w:rsidRDefault="00A13237" w:rsidP="00E5153B">
      <w:pPr>
        <w:tabs>
          <w:tab w:val="left" w:pos="1138"/>
        </w:tabs>
        <w:ind w:left="119" w:right="135" w:firstLine="567"/>
        <w:jc w:val="both"/>
      </w:pPr>
      <w:r w:rsidR="00E5153B">
        <w:rPr>
          <w:szCs w:val="24"/>
          <w:lang w:val="en-US" w:bidi="en-US"/>
        </w:rPr>
        <w:t>15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>Asmenys, kuriems skirtos valstybės biudžeto arba Europos Sąjungos struktūrinių fondų lėšos, dalyvauti tarptautinėse mainų programose, atsiskaito Institucijoms, vadovaudamiesi atitinkamais programų bei sutarčių su Lietuvos Institucijomis</w:t>
      </w:r>
      <w:r w:rsidR="00E5153B">
        <w:rPr>
          <w:spacing w:val="1"/>
        </w:rPr>
        <w:t xml:space="preserve"> </w:t>
      </w:r>
      <w:r w:rsidR="00E5153B">
        <w:t>reikalavimais.</w:t>
      </w:r>
    </w:p>
    <w:p w14:paraId="03BD2FA5" w14:textId="77777777" w:rsidR="00E301B3" w:rsidRDefault="00A13237" w:rsidP="00E5153B">
      <w:pPr>
        <w:tabs>
          <w:tab w:val="left" w:pos="1143"/>
        </w:tabs>
        <w:spacing w:line="235" w:lineRule="auto"/>
        <w:ind w:left="119" w:right="133" w:firstLine="567"/>
        <w:jc w:val="both"/>
      </w:pPr>
      <w:r w:rsidR="00E5153B">
        <w:rPr>
          <w:szCs w:val="24"/>
          <w:lang w:val="en-US" w:bidi="en-US"/>
        </w:rPr>
        <w:t>16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>Dėl valstybės biudžeto arba Europos Sąjungos struktūrinių fondų lėšos naudojimo Institucijos atsiskaito Fondui, vadovaudamosi sutartyse su Fondu nustatyta</w:t>
      </w:r>
      <w:r w:rsidR="00E5153B">
        <w:rPr>
          <w:spacing w:val="2"/>
        </w:rPr>
        <w:t xml:space="preserve"> </w:t>
      </w:r>
      <w:r w:rsidR="00E5153B">
        <w:t>tvarka.</w:t>
      </w:r>
    </w:p>
    <w:p w14:paraId="03BD2FA6" w14:textId="6B346D1A" w:rsidR="00E301B3" w:rsidRDefault="00A13237" w:rsidP="00E5153B">
      <w:pPr>
        <w:tabs>
          <w:tab w:val="left" w:pos="1051"/>
        </w:tabs>
        <w:spacing w:line="275" w:lineRule="exact"/>
        <w:ind w:left="1050" w:hanging="364"/>
        <w:jc w:val="both"/>
      </w:pPr>
      <w:r w:rsidR="00E5153B">
        <w:rPr>
          <w:szCs w:val="24"/>
          <w:lang w:val="en-US" w:bidi="en-US"/>
        </w:rPr>
        <w:t>17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>Fondas:</w:t>
      </w:r>
    </w:p>
    <w:p w14:paraId="03BD2FA7" w14:textId="77777777" w:rsidR="00E301B3" w:rsidRDefault="00A13237" w:rsidP="00E5153B">
      <w:pPr>
        <w:tabs>
          <w:tab w:val="left" w:pos="1315"/>
        </w:tabs>
        <w:ind w:left="119" w:right="138" w:firstLine="567"/>
        <w:jc w:val="both"/>
      </w:pPr>
      <w:r w:rsidR="00E5153B">
        <w:rPr>
          <w:szCs w:val="24"/>
          <w:lang w:val="en-US" w:bidi="en-US"/>
        </w:rPr>
        <w:t>17.1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>atsiskaito Švietimo</w:t>
      </w:r>
      <w:r w:rsidR="00E5153B">
        <w:rPr>
          <w:spacing w:val="-5"/>
        </w:rPr>
        <w:t xml:space="preserve">, </w:t>
      </w:r>
      <w:r w:rsidR="00E5153B">
        <w:t xml:space="preserve">mokslo ir sporto ministerijai dėl valstybės biudžeto </w:t>
      </w:r>
      <w:r w:rsidR="00E5153B">
        <w:rPr>
          <w:spacing w:val="-3"/>
        </w:rPr>
        <w:t xml:space="preserve">lėšų </w:t>
      </w:r>
      <w:r w:rsidR="00E5153B">
        <w:t xml:space="preserve">naudojimo sutartyse, sudarytose </w:t>
      </w:r>
      <w:r w:rsidR="00E5153B">
        <w:rPr>
          <w:spacing w:val="-3"/>
        </w:rPr>
        <w:t>Švietimo,</w:t>
      </w:r>
      <w:r w:rsidR="00E5153B">
        <w:rPr>
          <w:spacing w:val="-5"/>
        </w:rPr>
        <w:t xml:space="preserve"> </w:t>
      </w:r>
      <w:r w:rsidR="00E5153B">
        <w:rPr>
          <w:spacing w:val="-3"/>
        </w:rPr>
        <w:t xml:space="preserve">mokslo ir sporto </w:t>
      </w:r>
      <w:r w:rsidR="00E5153B">
        <w:t xml:space="preserve">ministerijos </w:t>
      </w:r>
      <w:r w:rsidR="00E5153B">
        <w:rPr>
          <w:spacing w:val="-5"/>
        </w:rPr>
        <w:t xml:space="preserve">ir </w:t>
      </w:r>
      <w:r w:rsidR="00E5153B">
        <w:t>Fondo, nustatytomis</w:t>
      </w:r>
      <w:r w:rsidR="00E5153B">
        <w:rPr>
          <w:spacing w:val="47"/>
        </w:rPr>
        <w:t xml:space="preserve"> </w:t>
      </w:r>
      <w:r w:rsidR="00E5153B">
        <w:t>sąlygomis;</w:t>
      </w:r>
    </w:p>
    <w:p w14:paraId="03BD2FA8" w14:textId="77777777" w:rsidR="00E301B3" w:rsidRDefault="00A13237" w:rsidP="00E5153B">
      <w:pPr>
        <w:widowControl w:val="0"/>
        <w:ind w:left="119" w:right="130" w:firstLine="566"/>
        <w:jc w:val="both"/>
        <w:rPr>
          <w:szCs w:val="24"/>
          <w:lang w:bidi="en-US"/>
        </w:rPr>
      </w:pPr>
      <w:r w:rsidR="00E5153B">
        <w:rPr>
          <w:szCs w:val="24"/>
          <w:lang w:bidi="en-US"/>
        </w:rPr>
        <w:t>17.2</w:t>
      </w:r>
      <w:r w:rsidR="00E5153B">
        <w:rPr>
          <w:szCs w:val="24"/>
          <w:lang w:bidi="en-US"/>
        </w:rPr>
        <w:t xml:space="preserve"> atsiskaito Europos socialinio fondo agentūrai vadovaudamasis projekto „Aukštojo </w:t>
      </w:r>
      <w:r w:rsidR="00E5153B">
        <w:rPr>
          <w:spacing w:val="-3"/>
          <w:szCs w:val="24"/>
          <w:lang w:bidi="en-US"/>
        </w:rPr>
        <w:t xml:space="preserve">mokslo </w:t>
      </w:r>
      <w:proofErr w:type="spellStart"/>
      <w:r w:rsidR="00E5153B">
        <w:rPr>
          <w:szCs w:val="24"/>
          <w:lang w:bidi="en-US"/>
        </w:rPr>
        <w:t>tarptautiškumo</w:t>
      </w:r>
      <w:proofErr w:type="spellEnd"/>
      <w:r w:rsidR="00E5153B">
        <w:rPr>
          <w:szCs w:val="24"/>
          <w:lang w:bidi="en-US"/>
        </w:rPr>
        <w:t xml:space="preserve"> plėtra“ 2016 </w:t>
      </w:r>
      <w:r w:rsidR="00E5153B">
        <w:rPr>
          <w:spacing w:val="-5"/>
          <w:szCs w:val="24"/>
          <w:lang w:bidi="en-US"/>
        </w:rPr>
        <w:t xml:space="preserve">m. </w:t>
      </w:r>
      <w:r w:rsidR="00E5153B">
        <w:rPr>
          <w:szCs w:val="24"/>
          <w:lang w:bidi="en-US"/>
        </w:rPr>
        <w:t xml:space="preserve">gruodžio </w:t>
      </w:r>
      <w:r w:rsidR="00E5153B">
        <w:rPr>
          <w:spacing w:val="-3"/>
          <w:szCs w:val="24"/>
          <w:lang w:bidi="en-US"/>
        </w:rPr>
        <w:t xml:space="preserve">30 </w:t>
      </w:r>
      <w:r w:rsidR="00E5153B">
        <w:rPr>
          <w:szCs w:val="24"/>
          <w:lang w:bidi="en-US"/>
        </w:rPr>
        <w:t>d. sutartimi Nr.</w:t>
      </w:r>
      <w:r w:rsidR="00E5153B">
        <w:rPr>
          <w:spacing w:val="22"/>
          <w:szCs w:val="24"/>
          <w:lang w:bidi="en-US"/>
        </w:rPr>
        <w:t xml:space="preserve"> </w:t>
      </w:r>
      <w:r w:rsidR="00E5153B">
        <w:rPr>
          <w:szCs w:val="24"/>
          <w:lang w:bidi="en-US"/>
        </w:rPr>
        <w:t>09.3.1-ESFA-V-709-01-0003;</w:t>
      </w:r>
    </w:p>
    <w:p w14:paraId="03BD2FA9" w14:textId="77777777" w:rsidR="00E301B3" w:rsidRDefault="00A13237" w:rsidP="00E5153B">
      <w:pPr>
        <w:tabs>
          <w:tab w:val="left" w:pos="1258"/>
        </w:tabs>
        <w:ind w:left="119" w:right="137" w:firstLine="567"/>
        <w:jc w:val="both"/>
      </w:pPr>
      <w:r w:rsidR="00E5153B">
        <w:rPr>
          <w:szCs w:val="24"/>
          <w:lang w:val="en-US" w:bidi="en-US"/>
        </w:rPr>
        <w:t>17.3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 xml:space="preserve">pateikia Švietimo, </w:t>
      </w:r>
      <w:r w:rsidR="00E5153B">
        <w:rPr>
          <w:spacing w:val="-3"/>
        </w:rPr>
        <w:t xml:space="preserve">mokslo ir sporto </w:t>
      </w:r>
      <w:r w:rsidR="00E5153B">
        <w:t>ministerijai dalykinę ataskaitą apie veiklas, kurioms buvo panaudotos valstybės biudžeto lėšos, iki kitų metų sausio 10</w:t>
      </w:r>
      <w:r w:rsidR="00E5153B">
        <w:rPr>
          <w:spacing w:val="11"/>
        </w:rPr>
        <w:t xml:space="preserve"> </w:t>
      </w:r>
      <w:r w:rsidR="00E5153B">
        <w:t>dienos;</w:t>
      </w:r>
    </w:p>
    <w:p w14:paraId="03BD2FAA" w14:textId="566571A1" w:rsidR="00E301B3" w:rsidRDefault="00A13237" w:rsidP="00E5153B">
      <w:pPr>
        <w:tabs>
          <w:tab w:val="left" w:pos="1311"/>
        </w:tabs>
        <w:ind w:left="119" w:right="130" w:firstLine="567"/>
        <w:jc w:val="both"/>
      </w:pPr>
      <w:r w:rsidR="00E5153B">
        <w:rPr>
          <w:szCs w:val="24"/>
          <w:lang w:val="en-US" w:bidi="en-US"/>
        </w:rPr>
        <w:t>17.4</w:t>
      </w:r>
      <w:r w:rsidR="00E5153B">
        <w:rPr>
          <w:szCs w:val="24"/>
          <w:lang w:val="en-US" w:bidi="en-US"/>
        </w:rPr>
        <w:t>.</w:t>
      </w:r>
      <w:r w:rsidR="00E5153B">
        <w:rPr>
          <w:szCs w:val="24"/>
          <w:lang w:val="en-US" w:bidi="en-US"/>
        </w:rPr>
        <w:tab/>
      </w:r>
      <w:r w:rsidR="00E5153B">
        <w:t>perveda einamųjų metų pro</w:t>
      </w:r>
      <w:bookmarkStart w:id="0" w:name="_GoBack"/>
      <w:bookmarkEnd w:id="0"/>
      <w:r w:rsidR="00E5153B">
        <w:t xml:space="preserve">gramų </w:t>
      </w:r>
      <w:r w:rsidR="00E5153B">
        <w:rPr>
          <w:szCs w:val="24"/>
        </w:rPr>
        <w:t>Nacionalines</w:t>
      </w:r>
      <w:r w:rsidR="00E5153B">
        <w:t xml:space="preserve"> </w:t>
      </w:r>
      <w:r w:rsidR="00E5153B">
        <w:rPr>
          <w:spacing w:val="-3"/>
        </w:rPr>
        <w:t xml:space="preserve">lėšas, </w:t>
      </w:r>
      <w:r w:rsidR="00E5153B">
        <w:t xml:space="preserve">kurios buvo nepaskirstytos, grąžintos ar nepervestos Institucijoms, vadovaudamasis Aprašo 4 </w:t>
      </w:r>
      <w:r w:rsidR="00E5153B">
        <w:rPr>
          <w:spacing w:val="-5"/>
        </w:rPr>
        <w:t xml:space="preserve">ir </w:t>
      </w:r>
      <w:r w:rsidR="00E5153B">
        <w:t xml:space="preserve">5 punktais, </w:t>
      </w:r>
      <w:r w:rsidR="00E5153B">
        <w:rPr>
          <w:szCs w:val="24"/>
        </w:rPr>
        <w:t xml:space="preserve">į valstybės biudžetą </w:t>
      </w:r>
      <w:r w:rsidR="00E5153B">
        <w:t>iki gruodžio 31 d.</w:t>
      </w:r>
    </w:p>
    <w:p w14:paraId="03BD2FAB" w14:textId="67213462" w:rsidR="00E301B3" w:rsidRDefault="00E5153B" w:rsidP="00A13237">
      <w:pPr>
        <w:widowControl w:val="0"/>
        <w:jc w:val="center"/>
        <w:rPr>
          <w:rFonts w:ascii="HelveticaLT" w:hAnsi="HelveticaLT"/>
          <w:szCs w:val="24"/>
          <w:lang w:val="en-US" w:bidi="en-US"/>
        </w:rPr>
      </w:pPr>
      <w:r>
        <w:rPr>
          <w:sz w:val="18"/>
          <w:szCs w:val="24"/>
          <w:lang w:bidi="en-US"/>
        </w:rPr>
        <w:t>_____________________</w:t>
      </w:r>
    </w:p>
    <w:sectPr w:rsidR="00E301B3" w:rsidSect="00E5153B">
      <w:pgSz w:w="11907" w:h="16840" w:code="9"/>
      <w:pgMar w:top="1138" w:right="562" w:bottom="284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D2FB0" w14:textId="77777777" w:rsidR="00E301B3" w:rsidRDefault="00E5153B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03BD2FB1" w14:textId="77777777" w:rsidR="00E301B3" w:rsidRDefault="00E5153B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D2FB4" w14:textId="77777777" w:rsidR="00E301B3" w:rsidRDefault="00E5153B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03BD2FB5" w14:textId="77777777" w:rsidR="00E301B3" w:rsidRDefault="00E301B3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D2FB6" w14:textId="77777777" w:rsidR="00E301B3" w:rsidRDefault="00E301B3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D2FB8" w14:textId="77777777" w:rsidR="00E301B3" w:rsidRDefault="00E301B3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D2FAE" w14:textId="77777777" w:rsidR="00E301B3" w:rsidRDefault="00E5153B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03BD2FAF" w14:textId="77777777" w:rsidR="00E301B3" w:rsidRDefault="00E5153B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D2FB2" w14:textId="77777777" w:rsidR="00E301B3" w:rsidRDefault="00E301B3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949990"/>
      <w:docPartObj>
        <w:docPartGallery w:val="Page Numbers (Top of Page)"/>
        <w:docPartUnique/>
      </w:docPartObj>
    </w:sdtPr>
    <w:sdtEndPr/>
    <w:sdtContent>
      <w:p w14:paraId="2110E755" w14:textId="05D3AC32" w:rsidR="00E5153B" w:rsidRDefault="00E5153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237">
          <w:rPr>
            <w:noProof/>
          </w:rPr>
          <w:t>4</w:t>
        </w:r>
        <w:r>
          <w:fldChar w:fldCharType="end"/>
        </w:r>
      </w:p>
    </w:sdtContent>
  </w:sdt>
  <w:p w14:paraId="03BD2FB3" w14:textId="77777777" w:rsidR="00E301B3" w:rsidRDefault="00E301B3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B6D46" w14:textId="509D0C20" w:rsidR="00E5153B" w:rsidRDefault="00E5153B">
    <w:pPr>
      <w:pStyle w:val="Antrats"/>
      <w:jc w:val="center"/>
    </w:pPr>
  </w:p>
  <w:p w14:paraId="03BD2FB7" w14:textId="77777777" w:rsidR="00E301B3" w:rsidRDefault="00E301B3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43"/>
    <w:rsid w:val="00087A43"/>
    <w:rsid w:val="00A13237"/>
    <w:rsid w:val="00E301B3"/>
    <w:rsid w:val="00E5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481"/>
    <o:shapelayout v:ext="edit">
      <o:idmap v:ext="edit" data="1"/>
    </o:shapelayout>
  </w:shapeDefaults>
  <w:decimalSymbol w:val=","/>
  <w:listSeparator w:val=";"/>
  <w14:docId w14:val="03BD2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5153B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E5153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5153B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5153B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E5153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5153B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endnotes" Target="endnotes.xml"/>
  <Relationship Id="rId11" Type="http://schemas.openxmlformats.org/officeDocument/2006/relationships/image" Target="media/image1.png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customXml" Target="../customXml/item2.xml"/>
  <Relationship Id="rId20" Type="http://schemas.openxmlformats.org/officeDocument/2006/relationships/theme" Target="theme/theme1.xml"/>
  <Relationship Id="rId3" Type="http://schemas.openxmlformats.org/officeDocument/2006/relationships/customXml" Target="../customXml/item3.xml"/>
  <Relationship Id="rId5" Type="http://schemas.openxmlformats.org/officeDocument/2006/relationships/styles" Target="styles.xml"/>
  <Relationship Id="rId6" Type="http://schemas.microsoft.com/office/2007/relationships/stylesWithEffects" Target="stylesWithEffect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296C4B7-0A82-431C-911B-D43D7B9DA92C}"/>
      </w:docPartPr>
      <w:docPartBody>
        <w:p w14:paraId="395F2CB3" w14:textId="77777777" w:rsidR="004200D6" w:rsidRDefault="00E165DF">
          <w:r w:rsidRPr="00116A03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DF"/>
    <w:rsid w:val="004200D6"/>
    <w:rsid w:val="00E1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5F2CB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165D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165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0D41E0-3748-4087-8231-68EDD13FB1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1BD444-0DA5-49E2-80CA-9C47E4146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01474E-2770-4343-BEF3-DF031574CD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1763</Words>
  <Characters>13168</Characters>
  <Application>Microsoft Office Word</Application>
  <DocSecurity>0</DocSecurity>
  <Lines>109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VKS</Company>
  <LinksUpToDate>false</LinksUpToDate>
  <CharactersWithSpaces>14902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2019-04-03T12:42:00Z</dcterms:created>
  <dc:creator>Virginija Rinkevičienė</dc:creator>
  <lastModifiedBy>DRAZDAUSKIENĖ Nijolė</lastModifiedBy>
  <lastPrinted>2019-02-15T09:51:00Z</lastPrinted>
  <dcterms:modified xsi:type="dcterms:W3CDTF">2019-04-04T05:55:00Z</dcterms:modified>
  <revision>4</revision>
  <dc:title>c341844f-d9fb-4102-b12a-75cd9820953c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</Properties>
</file>