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9"/>
        <w:gridCol w:w="4819"/>
      </w:tblGrid>
      <w:tr w:rsidR="00FB4B0F" w:rsidRPr="00506FEA" w14:paraId="1DFD02FB" w14:textId="77777777" w:rsidTr="00A501A0">
        <w:tc>
          <w:tcPr>
            <w:tcW w:w="4809" w:type="dxa"/>
          </w:tcPr>
          <w:p w14:paraId="6B81D4C0" w14:textId="4EF69679" w:rsidR="00FB4B0F" w:rsidRPr="00506FEA" w:rsidRDefault="001439E1" w:rsidP="00A348E2">
            <w:pP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Ar dėl k</w:t>
            </w:r>
            <w:r w:rsidR="009B396B">
              <w:rPr>
                <w:rFonts w:ascii="Times New Roman" w:hAnsi="Times New Roman" w:cs="Times New Roman"/>
                <w:color w:val="000000" w:themeColor="text1"/>
                <w:sz w:val="24"/>
                <w:szCs w:val="24"/>
              </w:rPr>
              <w:t>oronaviruso pandemijos yra stabdoma „Erasmus+“ programa?</w:t>
            </w:r>
          </w:p>
        </w:tc>
        <w:tc>
          <w:tcPr>
            <w:tcW w:w="4819" w:type="dxa"/>
          </w:tcPr>
          <w:p w14:paraId="600AEB98" w14:textId="768AE6E6" w:rsidR="00E41782" w:rsidRPr="00506FEA" w:rsidRDefault="00E41782" w:rsidP="009B396B">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Europos Komisija kol kas neplanuoja stabdyti programos, kadangi daugelis veiklų gali būt</w:t>
            </w:r>
            <w:r w:rsidR="00E17955">
              <w:rPr>
                <w:rFonts w:ascii="Times New Roman" w:eastAsia="Times New Roman" w:hAnsi="Times New Roman" w:cs="Times New Roman"/>
                <w:sz w:val="24"/>
                <w:szCs w:val="24"/>
                <w:lang w:eastAsia="lt-LT"/>
              </w:rPr>
              <w:t>i įgyvendintos nuotoliniu būdu (virtualūs susitikimai, mokymai nuotoliniu būdu, intelektinių produktų kūrimas, paraiškų rengimas ir pan.)</w:t>
            </w:r>
            <w:r w:rsidR="008257CC">
              <w:rPr>
                <w:rFonts w:ascii="Times New Roman" w:eastAsia="Times New Roman" w:hAnsi="Times New Roman" w:cs="Times New Roman"/>
                <w:sz w:val="24"/>
                <w:szCs w:val="24"/>
                <w:lang w:eastAsia="lt-LT"/>
              </w:rPr>
              <w:t>.</w:t>
            </w:r>
          </w:p>
        </w:tc>
      </w:tr>
      <w:tr w:rsidR="009B396B" w:rsidRPr="00506FEA" w14:paraId="4960DC28" w14:textId="77777777" w:rsidTr="00A501A0">
        <w:tc>
          <w:tcPr>
            <w:tcW w:w="4809" w:type="dxa"/>
          </w:tcPr>
          <w:p w14:paraId="009BDAD5" w14:textId="46F847A3" w:rsidR="009B396B" w:rsidRPr="00506FEA" w:rsidRDefault="009B396B" w:rsidP="009B396B">
            <w:pPr>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 xml:space="preserve">Kokie yra </w:t>
            </w:r>
            <w:r w:rsidRPr="00506FEA">
              <w:rPr>
                <w:rFonts w:ascii="Times New Roman" w:hAnsi="Times New Roman" w:cs="Times New Roman"/>
                <w:i/>
                <w:color w:val="000000" w:themeColor="text1"/>
                <w:sz w:val="24"/>
                <w:szCs w:val="24"/>
              </w:rPr>
              <w:t>force majeure</w:t>
            </w:r>
            <w:r w:rsidRPr="00506FEA">
              <w:rPr>
                <w:rFonts w:ascii="Times New Roman" w:hAnsi="Times New Roman" w:cs="Times New Roman"/>
                <w:color w:val="000000" w:themeColor="text1"/>
                <w:sz w:val="24"/>
                <w:szCs w:val="24"/>
              </w:rPr>
              <w:t xml:space="preserve"> taikymo atvejai?</w:t>
            </w:r>
          </w:p>
        </w:tc>
        <w:tc>
          <w:tcPr>
            <w:tcW w:w="4819" w:type="dxa"/>
          </w:tcPr>
          <w:p w14:paraId="09CCD28F" w14:textId="77777777" w:rsidR="009B396B" w:rsidRPr="00506FEA" w:rsidRDefault="009B396B" w:rsidP="009B396B">
            <w:pPr>
              <w:spacing w:before="100" w:beforeAutospacing="1" w:after="100" w:afterAutospacing="1"/>
              <w:jc w:val="both"/>
              <w:rPr>
                <w:rFonts w:ascii="Times New Roman" w:hAnsi="Times New Roman" w:cs="Times New Roman"/>
                <w:sz w:val="24"/>
                <w:szCs w:val="24"/>
              </w:rPr>
            </w:pPr>
            <w:r w:rsidRPr="00506FEA">
              <w:rPr>
                <w:rFonts w:ascii="Times New Roman" w:eastAsia="Times New Roman" w:hAnsi="Times New Roman" w:cs="Times New Roman"/>
                <w:sz w:val="24"/>
                <w:szCs w:val="24"/>
                <w:lang w:eastAsia="lt-LT"/>
              </w:rPr>
              <w:t>2020-03-13 Europos Komisijos pozicija dėl COVID-19 poveikio programos „Erasmus+“ mobilumo veikloms:</w:t>
            </w:r>
            <w:r w:rsidRPr="00506FEA">
              <w:rPr>
                <w:rFonts w:ascii="Times New Roman" w:hAnsi="Times New Roman" w:cs="Times New Roman"/>
                <w:sz w:val="24"/>
                <w:szCs w:val="24"/>
              </w:rPr>
              <w:t xml:space="preserve"> </w:t>
            </w:r>
          </w:p>
          <w:p w14:paraId="11B67BC3" w14:textId="77777777" w:rsidR="009B396B" w:rsidRPr="00506FEA" w:rsidRDefault="009B396B" w:rsidP="009B396B">
            <w:pPr>
              <w:spacing w:before="100" w:beforeAutospacing="1" w:after="100" w:afterAutospacing="1"/>
              <w:jc w:val="both"/>
              <w:rPr>
                <w:rFonts w:ascii="Times New Roman" w:eastAsia="Times New Roman" w:hAnsi="Times New Roman" w:cs="Times New Roman"/>
                <w:sz w:val="24"/>
                <w:szCs w:val="24"/>
                <w:lang w:eastAsia="lt-LT"/>
              </w:rPr>
            </w:pPr>
            <w:r w:rsidRPr="00506FEA">
              <w:rPr>
                <w:rFonts w:ascii="Times New Roman" w:eastAsia="Times New Roman" w:hAnsi="Times New Roman" w:cs="Times New Roman"/>
                <w:sz w:val="24"/>
                <w:szCs w:val="24"/>
                <w:lang w:eastAsia="lt-LT"/>
              </w:rPr>
              <w:t>EK gerbia visas izoliavimo priemones, kurių imasi valstybės narės. Komisija supranta, kad šios priemonės gali turėti įtakos studentų, mokinių ir kitų asmenų dalyvavimui „Erasmus+“ mobilumuose.</w:t>
            </w:r>
          </w:p>
          <w:p w14:paraId="20B6AA14" w14:textId="77777777" w:rsidR="009B396B" w:rsidRPr="00506FEA" w:rsidRDefault="009B396B" w:rsidP="009B396B">
            <w:pPr>
              <w:spacing w:before="100" w:beforeAutospacing="1" w:after="100" w:afterAutospacing="1"/>
              <w:jc w:val="both"/>
              <w:rPr>
                <w:rFonts w:ascii="Times New Roman" w:eastAsia="Times New Roman" w:hAnsi="Times New Roman" w:cs="Times New Roman"/>
                <w:sz w:val="24"/>
                <w:szCs w:val="24"/>
                <w:lang w:eastAsia="lt-LT"/>
              </w:rPr>
            </w:pPr>
            <w:r w:rsidRPr="00506FEA">
              <w:rPr>
                <w:rFonts w:ascii="Times New Roman" w:eastAsia="Times New Roman" w:hAnsi="Times New Roman" w:cs="Times New Roman"/>
                <w:sz w:val="24"/>
                <w:szCs w:val="24"/>
                <w:lang w:eastAsia="lt-LT"/>
              </w:rPr>
              <w:t xml:space="preserve">Dabartinė padėtis reiškia, kad kai kurie dalyviai negali išvykti į mobilumą arba negali grįžti į namus. Pandemijos akivaizdoje yra atsisakoma visų mobilumų. Siekdami reaguoti į susidariusią situaciją, įgyvendinant minėtas mobilumo programas, taikomas </w:t>
            </w:r>
            <w:r w:rsidRPr="00506FEA">
              <w:rPr>
                <w:rFonts w:ascii="Times New Roman" w:eastAsia="Times New Roman" w:hAnsi="Times New Roman" w:cs="Times New Roman"/>
                <w:b/>
                <w:sz w:val="24"/>
                <w:szCs w:val="24"/>
                <w:lang w:eastAsia="lt-LT"/>
              </w:rPr>
              <w:t>maksimalus lankstumas</w:t>
            </w:r>
            <w:r w:rsidRPr="00506FEA">
              <w:rPr>
                <w:rFonts w:ascii="Times New Roman" w:eastAsia="Times New Roman" w:hAnsi="Times New Roman" w:cs="Times New Roman"/>
                <w:sz w:val="24"/>
                <w:szCs w:val="24"/>
                <w:lang w:eastAsia="lt-LT"/>
              </w:rPr>
              <w:t>.</w:t>
            </w:r>
          </w:p>
          <w:p w14:paraId="7626CBAE" w14:textId="157CEC68" w:rsidR="009B396B" w:rsidRPr="00506FEA" w:rsidRDefault="009B396B" w:rsidP="00071D64">
            <w:pPr>
              <w:spacing w:before="100" w:beforeAutospacing="1" w:after="100" w:afterAutospacing="1"/>
              <w:jc w:val="both"/>
              <w:rPr>
                <w:rFonts w:ascii="Times New Roman" w:eastAsia="Times New Roman" w:hAnsi="Times New Roman" w:cs="Times New Roman"/>
                <w:sz w:val="24"/>
                <w:szCs w:val="24"/>
                <w:lang w:eastAsia="lt-LT"/>
              </w:rPr>
            </w:pPr>
            <w:r w:rsidRPr="00506FEA">
              <w:rPr>
                <w:rFonts w:ascii="Times New Roman" w:eastAsia="Times New Roman" w:hAnsi="Times New Roman" w:cs="Times New Roman"/>
                <w:sz w:val="24"/>
                <w:szCs w:val="24"/>
                <w:lang w:eastAsia="lt-LT"/>
              </w:rPr>
              <w:t>Nacionalinės agentūros (</w:t>
            </w:r>
            <w:r w:rsidR="00071D64">
              <w:rPr>
                <w:rFonts w:ascii="Times New Roman" w:eastAsia="Times New Roman" w:hAnsi="Times New Roman" w:cs="Times New Roman"/>
                <w:sz w:val="24"/>
                <w:szCs w:val="24"/>
                <w:lang w:eastAsia="lt-LT"/>
              </w:rPr>
              <w:t>tarp jų</w:t>
            </w:r>
            <w:r w:rsidRPr="00506FEA">
              <w:rPr>
                <w:rFonts w:ascii="Times New Roman" w:eastAsia="Times New Roman" w:hAnsi="Times New Roman" w:cs="Times New Roman"/>
                <w:sz w:val="24"/>
                <w:szCs w:val="24"/>
                <w:lang w:eastAsia="lt-LT"/>
              </w:rPr>
              <w:t xml:space="preserve"> ir Švietimo mainų paramos fondas) lanksčiai taikys </w:t>
            </w:r>
            <w:r w:rsidRPr="00506FEA">
              <w:rPr>
                <w:rFonts w:ascii="Times New Roman" w:eastAsia="Times New Roman" w:hAnsi="Times New Roman" w:cs="Times New Roman"/>
                <w:i/>
                <w:sz w:val="24"/>
                <w:szCs w:val="24"/>
                <w:lang w:eastAsia="lt-LT"/>
              </w:rPr>
              <w:t>force majeure</w:t>
            </w:r>
            <w:r w:rsidRPr="00506FEA">
              <w:rPr>
                <w:rFonts w:ascii="Times New Roman" w:eastAsia="Times New Roman" w:hAnsi="Times New Roman" w:cs="Times New Roman"/>
                <w:sz w:val="24"/>
                <w:szCs w:val="24"/>
                <w:lang w:eastAsia="lt-LT"/>
              </w:rPr>
              <w:t xml:space="preserve"> principą svarstydam</w:t>
            </w:r>
            <w:r w:rsidR="00AE1C7B">
              <w:rPr>
                <w:rFonts w:ascii="Times New Roman" w:eastAsia="Times New Roman" w:hAnsi="Times New Roman" w:cs="Times New Roman"/>
                <w:sz w:val="24"/>
                <w:szCs w:val="24"/>
                <w:lang w:eastAsia="lt-LT"/>
              </w:rPr>
              <w:t>os</w:t>
            </w:r>
            <w:r w:rsidRPr="00506FEA">
              <w:rPr>
                <w:rFonts w:ascii="Times New Roman" w:eastAsia="Times New Roman" w:hAnsi="Times New Roman" w:cs="Times New Roman"/>
                <w:sz w:val="24"/>
                <w:szCs w:val="24"/>
                <w:lang w:eastAsia="lt-LT"/>
              </w:rPr>
              <w:t xml:space="preserve"> kiekvieną individualų atveją dėl mobilumų </w:t>
            </w:r>
            <w:r w:rsidR="00071D64">
              <w:rPr>
                <w:rFonts w:ascii="Times New Roman" w:eastAsia="Times New Roman" w:hAnsi="Times New Roman" w:cs="Times New Roman"/>
                <w:sz w:val="24"/>
                <w:szCs w:val="24"/>
                <w:lang w:eastAsia="lt-LT"/>
              </w:rPr>
              <w:t>į</w:t>
            </w:r>
            <w:r w:rsidRPr="00506FEA">
              <w:rPr>
                <w:rFonts w:ascii="Times New Roman" w:eastAsia="Times New Roman" w:hAnsi="Times New Roman" w:cs="Times New Roman"/>
                <w:sz w:val="24"/>
                <w:szCs w:val="24"/>
                <w:lang w:eastAsia="lt-LT"/>
              </w:rPr>
              <w:t xml:space="preserve">skaitymo ir  patirtų nuostolių kompensavimo. </w:t>
            </w:r>
          </w:p>
        </w:tc>
      </w:tr>
      <w:tr w:rsidR="009B396B" w:rsidRPr="00506FEA" w14:paraId="28D8FC08" w14:textId="77777777" w:rsidTr="00A501A0">
        <w:tc>
          <w:tcPr>
            <w:tcW w:w="4809" w:type="dxa"/>
          </w:tcPr>
          <w:p w14:paraId="3A856BB4" w14:textId="3108C897" w:rsidR="009B396B" w:rsidRPr="00506FEA" w:rsidRDefault="009B396B" w:rsidP="009B396B">
            <w:pPr>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Ar gali būti pratęstas projekto dotacijos sutarties laikotarpis?</w:t>
            </w:r>
          </w:p>
        </w:tc>
        <w:tc>
          <w:tcPr>
            <w:tcW w:w="4819" w:type="dxa"/>
          </w:tcPr>
          <w:p w14:paraId="59228638" w14:textId="124C6D01" w:rsidR="009B396B" w:rsidRPr="00506FEA" w:rsidRDefault="009B396B" w:rsidP="009B396B">
            <w:pPr>
              <w:rPr>
                <w:rFonts w:ascii="Times New Roman" w:hAnsi="Times New Roman" w:cs="Times New Roman"/>
                <w:sz w:val="24"/>
                <w:szCs w:val="24"/>
              </w:rPr>
            </w:pPr>
            <w:r w:rsidRPr="00506FEA">
              <w:rPr>
                <w:rFonts w:ascii="Times New Roman" w:hAnsi="Times New Roman" w:cs="Times New Roman"/>
                <w:sz w:val="24"/>
                <w:szCs w:val="24"/>
              </w:rPr>
              <w:t>Dotacijos sutartys galės būti pratęstos (jei toks poreikis yra) maksimaliam 12 mėn. laikotarpiui, kaip nurodyta žemiau:</w:t>
            </w:r>
          </w:p>
          <w:p w14:paraId="1C83EBBC" w14:textId="77777777" w:rsidR="009B396B" w:rsidRPr="00506FEA" w:rsidRDefault="009B396B" w:rsidP="009B396B">
            <w:pPr>
              <w:rPr>
                <w:rFonts w:ascii="Times New Roman" w:hAnsi="Times New Roman" w:cs="Times New Roman"/>
                <w:sz w:val="24"/>
                <w:szCs w:val="24"/>
              </w:rPr>
            </w:pPr>
          </w:p>
          <w:p w14:paraId="25EA4C07" w14:textId="732DB389" w:rsidR="009B396B" w:rsidRDefault="009B396B" w:rsidP="009B396B">
            <w:pPr>
              <w:rPr>
                <w:rFonts w:ascii="Times New Roman" w:hAnsi="Times New Roman" w:cs="Times New Roman"/>
                <w:sz w:val="24"/>
                <w:szCs w:val="24"/>
              </w:rPr>
            </w:pPr>
            <w:r w:rsidRPr="00506FEA">
              <w:rPr>
                <w:rFonts w:ascii="Times New Roman" w:hAnsi="Times New Roman" w:cs="Times New Roman"/>
                <w:b/>
                <w:bCs/>
                <w:sz w:val="24"/>
                <w:szCs w:val="24"/>
                <w:u w:val="single"/>
              </w:rPr>
              <w:t>2018 metų</w:t>
            </w:r>
            <w:r w:rsidRPr="00506FEA">
              <w:rPr>
                <w:rFonts w:ascii="Times New Roman" w:hAnsi="Times New Roman" w:cs="Times New Roman"/>
                <w:b/>
                <w:bCs/>
                <w:sz w:val="24"/>
                <w:szCs w:val="24"/>
              </w:rPr>
              <w:t xml:space="preserve"> visų sektorių mobilumo projektų KA1 (24 mėn. trukmės) sutartis gali būti pratęsta</w:t>
            </w:r>
            <w:r w:rsidRPr="00506FEA">
              <w:rPr>
                <w:rFonts w:ascii="Times New Roman" w:hAnsi="Times New Roman" w:cs="Times New Roman"/>
                <w:sz w:val="24"/>
                <w:szCs w:val="24"/>
              </w:rPr>
              <w:t xml:space="preserve"> </w:t>
            </w:r>
            <w:r w:rsidRPr="00506FEA">
              <w:rPr>
                <w:rFonts w:ascii="Times New Roman" w:hAnsi="Times New Roman" w:cs="Times New Roman"/>
                <w:b/>
                <w:bCs/>
                <w:sz w:val="24"/>
                <w:szCs w:val="24"/>
              </w:rPr>
              <w:t>12 mėn.</w:t>
            </w:r>
            <w:r w:rsidRPr="00506FEA">
              <w:rPr>
                <w:rFonts w:ascii="Times New Roman" w:hAnsi="Times New Roman" w:cs="Times New Roman"/>
                <w:sz w:val="24"/>
                <w:szCs w:val="24"/>
              </w:rPr>
              <w:t xml:space="preserve">, t. y. </w:t>
            </w:r>
            <w:r w:rsidRPr="00506FEA">
              <w:rPr>
                <w:rFonts w:ascii="Times New Roman" w:hAnsi="Times New Roman" w:cs="Times New Roman"/>
                <w:b/>
                <w:bCs/>
                <w:sz w:val="24"/>
                <w:szCs w:val="24"/>
              </w:rPr>
              <w:t>iki 2021 m. gegužės 31 d</w:t>
            </w:r>
            <w:r w:rsidRPr="00506FEA">
              <w:rPr>
                <w:rFonts w:ascii="Times New Roman" w:hAnsi="Times New Roman" w:cs="Times New Roman"/>
                <w:sz w:val="24"/>
                <w:szCs w:val="24"/>
              </w:rPr>
              <w:t>. Maksimali galima projekto trukmė – 36 mėn.</w:t>
            </w:r>
          </w:p>
          <w:p w14:paraId="6D80D400" w14:textId="77777777" w:rsidR="00071D64" w:rsidRPr="00506FEA" w:rsidRDefault="00071D64" w:rsidP="009B396B">
            <w:pPr>
              <w:rPr>
                <w:rFonts w:ascii="Times New Roman" w:hAnsi="Times New Roman" w:cs="Times New Roman"/>
                <w:sz w:val="24"/>
                <w:szCs w:val="24"/>
              </w:rPr>
            </w:pPr>
          </w:p>
          <w:p w14:paraId="28735E58" w14:textId="53E0AE05" w:rsidR="009B396B" w:rsidRDefault="009B396B" w:rsidP="009B396B">
            <w:pPr>
              <w:rPr>
                <w:rFonts w:ascii="Times New Roman" w:hAnsi="Times New Roman" w:cs="Times New Roman"/>
                <w:sz w:val="24"/>
                <w:szCs w:val="24"/>
              </w:rPr>
            </w:pPr>
            <w:r w:rsidRPr="00506FEA">
              <w:rPr>
                <w:rFonts w:ascii="Times New Roman" w:hAnsi="Times New Roman" w:cs="Times New Roman"/>
                <w:b/>
                <w:bCs/>
                <w:sz w:val="24"/>
                <w:szCs w:val="24"/>
                <w:u w:val="single"/>
              </w:rPr>
              <w:t>2018 metų</w:t>
            </w:r>
            <w:r w:rsidRPr="00506FEA">
              <w:rPr>
                <w:rFonts w:ascii="Times New Roman" w:hAnsi="Times New Roman" w:cs="Times New Roman"/>
                <w:b/>
                <w:bCs/>
                <w:sz w:val="24"/>
                <w:szCs w:val="24"/>
              </w:rPr>
              <w:t xml:space="preserve"> KA107 projekto</w:t>
            </w:r>
            <w:r w:rsidRPr="00506FEA">
              <w:rPr>
                <w:rFonts w:ascii="Times New Roman" w:hAnsi="Times New Roman" w:cs="Times New Roman"/>
                <w:sz w:val="24"/>
                <w:szCs w:val="24"/>
              </w:rPr>
              <w:t xml:space="preserve"> </w:t>
            </w:r>
            <w:r w:rsidRPr="00506FEA">
              <w:rPr>
                <w:rFonts w:ascii="Times New Roman" w:hAnsi="Times New Roman" w:cs="Times New Roman"/>
                <w:b/>
                <w:bCs/>
                <w:sz w:val="24"/>
                <w:szCs w:val="24"/>
              </w:rPr>
              <w:t>sutartis</w:t>
            </w:r>
            <w:r w:rsidRPr="00506FEA">
              <w:rPr>
                <w:rFonts w:ascii="Times New Roman" w:hAnsi="Times New Roman" w:cs="Times New Roman"/>
                <w:sz w:val="24"/>
                <w:szCs w:val="24"/>
              </w:rPr>
              <w:t xml:space="preserve"> (</w:t>
            </w:r>
            <w:r w:rsidRPr="00506FEA">
              <w:rPr>
                <w:rFonts w:ascii="Times New Roman" w:hAnsi="Times New Roman" w:cs="Times New Roman"/>
                <w:b/>
                <w:bCs/>
                <w:sz w:val="24"/>
                <w:szCs w:val="24"/>
              </w:rPr>
              <w:t>26 mėn. trukmės) gali būti pratęsta</w:t>
            </w:r>
            <w:r w:rsidRPr="00506FEA">
              <w:rPr>
                <w:rFonts w:ascii="Times New Roman" w:hAnsi="Times New Roman" w:cs="Times New Roman"/>
                <w:sz w:val="24"/>
                <w:szCs w:val="24"/>
              </w:rPr>
              <w:t xml:space="preserve"> </w:t>
            </w:r>
            <w:r w:rsidRPr="00506FEA">
              <w:rPr>
                <w:rFonts w:ascii="Times New Roman" w:hAnsi="Times New Roman" w:cs="Times New Roman"/>
                <w:b/>
                <w:bCs/>
                <w:sz w:val="24"/>
                <w:szCs w:val="24"/>
              </w:rPr>
              <w:t>12 mėn.</w:t>
            </w:r>
            <w:r w:rsidRPr="00506FEA">
              <w:rPr>
                <w:rFonts w:ascii="Times New Roman" w:hAnsi="Times New Roman" w:cs="Times New Roman"/>
                <w:sz w:val="24"/>
                <w:szCs w:val="24"/>
              </w:rPr>
              <w:t xml:space="preserve">, t. y. </w:t>
            </w:r>
            <w:r w:rsidRPr="00506FEA">
              <w:rPr>
                <w:rFonts w:ascii="Times New Roman" w:hAnsi="Times New Roman" w:cs="Times New Roman"/>
                <w:b/>
                <w:bCs/>
                <w:sz w:val="24"/>
                <w:szCs w:val="24"/>
              </w:rPr>
              <w:t>iki 2021 m. liepos 31 d</w:t>
            </w:r>
            <w:r w:rsidRPr="00506FEA">
              <w:rPr>
                <w:rFonts w:ascii="Times New Roman" w:hAnsi="Times New Roman" w:cs="Times New Roman"/>
                <w:sz w:val="24"/>
                <w:szCs w:val="24"/>
              </w:rPr>
              <w:t xml:space="preserve">. Maksimali galima projekto trukmė – 38 mėn. </w:t>
            </w:r>
          </w:p>
          <w:p w14:paraId="0251EA35" w14:textId="77777777" w:rsidR="00071D64" w:rsidRPr="00506FEA" w:rsidRDefault="00071D64" w:rsidP="009B396B">
            <w:pPr>
              <w:rPr>
                <w:rFonts w:ascii="Times New Roman" w:hAnsi="Times New Roman" w:cs="Times New Roman"/>
                <w:sz w:val="24"/>
                <w:szCs w:val="24"/>
              </w:rPr>
            </w:pPr>
          </w:p>
          <w:p w14:paraId="6CF7197A" w14:textId="720DD869" w:rsidR="009B396B" w:rsidRPr="00506FEA" w:rsidRDefault="009B396B" w:rsidP="009B396B">
            <w:pPr>
              <w:rPr>
                <w:rFonts w:ascii="Times New Roman" w:hAnsi="Times New Roman" w:cs="Times New Roman"/>
                <w:sz w:val="24"/>
                <w:szCs w:val="24"/>
              </w:rPr>
            </w:pPr>
            <w:r w:rsidRPr="00506FEA">
              <w:rPr>
                <w:rFonts w:ascii="Times New Roman" w:hAnsi="Times New Roman" w:cs="Times New Roman"/>
                <w:b/>
                <w:bCs/>
                <w:sz w:val="24"/>
                <w:szCs w:val="24"/>
                <w:u w:val="single"/>
              </w:rPr>
              <w:t>2018 metų</w:t>
            </w:r>
            <w:r w:rsidRPr="00506FEA">
              <w:rPr>
                <w:rFonts w:ascii="Times New Roman" w:hAnsi="Times New Roman" w:cs="Times New Roman"/>
                <w:b/>
                <w:bCs/>
                <w:sz w:val="24"/>
                <w:szCs w:val="24"/>
              </w:rPr>
              <w:t xml:space="preserve"> visų sektorių strateginių partnerysčių KA2 projektų sutartys (24 mėn. arba 30 mėn. trukmės) gali būti pratęsta</w:t>
            </w:r>
            <w:r w:rsidRPr="00506FEA">
              <w:rPr>
                <w:rFonts w:ascii="Times New Roman" w:hAnsi="Times New Roman" w:cs="Times New Roman"/>
                <w:sz w:val="24"/>
                <w:szCs w:val="24"/>
              </w:rPr>
              <w:t xml:space="preserve"> </w:t>
            </w:r>
            <w:r w:rsidRPr="00506FEA">
              <w:rPr>
                <w:rFonts w:ascii="Times New Roman" w:hAnsi="Times New Roman" w:cs="Times New Roman"/>
                <w:b/>
                <w:bCs/>
                <w:sz w:val="24"/>
                <w:szCs w:val="24"/>
              </w:rPr>
              <w:t>atitinkamai 12 arba 6 mėn.</w:t>
            </w:r>
            <w:r w:rsidRPr="00506FEA">
              <w:rPr>
                <w:rFonts w:ascii="Times New Roman" w:hAnsi="Times New Roman" w:cs="Times New Roman"/>
                <w:sz w:val="24"/>
                <w:szCs w:val="24"/>
              </w:rPr>
              <w:t xml:space="preserve"> Maksimali galima projekto trukmė – 36 mėn.</w:t>
            </w:r>
          </w:p>
          <w:p w14:paraId="18FE849A" w14:textId="77777777" w:rsidR="009B396B" w:rsidRPr="00506FEA" w:rsidRDefault="009B396B" w:rsidP="009B396B">
            <w:pPr>
              <w:rPr>
                <w:rFonts w:ascii="Times New Roman" w:hAnsi="Times New Roman" w:cs="Times New Roman"/>
                <w:sz w:val="24"/>
                <w:szCs w:val="24"/>
              </w:rPr>
            </w:pPr>
          </w:p>
          <w:p w14:paraId="5E995069" w14:textId="77777777" w:rsidR="009B396B" w:rsidRPr="00506FEA" w:rsidRDefault="009B396B" w:rsidP="009B396B">
            <w:pPr>
              <w:rPr>
                <w:rFonts w:ascii="Times New Roman" w:hAnsi="Times New Roman" w:cs="Times New Roman"/>
                <w:sz w:val="24"/>
                <w:szCs w:val="24"/>
              </w:rPr>
            </w:pPr>
            <w:r w:rsidRPr="00506FEA">
              <w:rPr>
                <w:rFonts w:ascii="Times New Roman" w:hAnsi="Times New Roman" w:cs="Times New Roman"/>
                <w:sz w:val="24"/>
                <w:szCs w:val="24"/>
              </w:rPr>
              <w:lastRenderedPageBreak/>
              <w:t>Fondas gali patenkinti tokius prašymus tais atvejais, kai dotacijos gavėjas negalėjo įgyvendinti suplanuotų 2018 m. sutarties mobilumų, projekto partnerių susitikimų ir/ar kitų projekto veiklų dėl koronaviruso plitimo.</w:t>
            </w:r>
          </w:p>
          <w:p w14:paraId="253FA893" w14:textId="77777777" w:rsidR="009B396B" w:rsidRPr="00506FEA" w:rsidRDefault="009B396B" w:rsidP="009B396B">
            <w:pPr>
              <w:rPr>
                <w:rFonts w:ascii="Times New Roman" w:hAnsi="Times New Roman" w:cs="Times New Roman"/>
                <w:sz w:val="24"/>
                <w:szCs w:val="24"/>
              </w:rPr>
            </w:pPr>
          </w:p>
          <w:p w14:paraId="1632D025" w14:textId="150074B1" w:rsidR="009B396B" w:rsidRPr="00506FEA" w:rsidRDefault="009B396B" w:rsidP="009B396B">
            <w:pPr>
              <w:rPr>
                <w:rFonts w:ascii="Times New Roman" w:hAnsi="Times New Roman" w:cs="Times New Roman"/>
                <w:sz w:val="24"/>
                <w:szCs w:val="24"/>
              </w:rPr>
            </w:pPr>
            <w:r w:rsidRPr="00EA3E19">
              <w:rPr>
                <w:rFonts w:ascii="Times New Roman" w:hAnsi="Times New Roman" w:cs="Times New Roman"/>
                <w:b/>
                <w:sz w:val="24"/>
                <w:szCs w:val="24"/>
              </w:rPr>
              <w:t>2019 m.</w:t>
            </w:r>
            <w:r w:rsidRPr="00506FEA">
              <w:rPr>
                <w:rFonts w:ascii="Times New Roman" w:hAnsi="Times New Roman" w:cs="Times New Roman"/>
                <w:sz w:val="24"/>
                <w:szCs w:val="24"/>
              </w:rPr>
              <w:t xml:space="preserve"> dotacijų sutartys gali būti pratęstos taip, kaip numato dotacijos sutarties nuostatos.</w:t>
            </w:r>
          </w:p>
          <w:p w14:paraId="3667CC85" w14:textId="77777777" w:rsidR="009B396B" w:rsidRPr="00506FEA" w:rsidRDefault="009B396B" w:rsidP="009B396B">
            <w:pPr>
              <w:rPr>
                <w:rFonts w:ascii="Times New Roman" w:hAnsi="Times New Roman" w:cs="Times New Roman"/>
                <w:sz w:val="24"/>
                <w:szCs w:val="24"/>
              </w:rPr>
            </w:pPr>
          </w:p>
          <w:p w14:paraId="2B81AD10" w14:textId="1B1F8E10" w:rsidR="009B396B" w:rsidRPr="00506FEA" w:rsidRDefault="009B396B" w:rsidP="009B396B">
            <w:pPr>
              <w:rPr>
                <w:rFonts w:ascii="Times New Roman" w:eastAsia="Times New Roman" w:hAnsi="Times New Roman" w:cs="Times New Roman"/>
                <w:sz w:val="24"/>
                <w:szCs w:val="24"/>
                <w:lang w:eastAsia="lt-LT"/>
              </w:rPr>
            </w:pPr>
            <w:r w:rsidRPr="00506FEA">
              <w:rPr>
                <w:rFonts w:ascii="Times New Roman" w:hAnsi="Times New Roman" w:cs="Times New Roman"/>
                <w:sz w:val="24"/>
                <w:szCs w:val="24"/>
              </w:rPr>
              <w:t>Gavus Jūsų prašymus bus rengiami dotacijos sutarčių pakeitimai suderintam laikotarpiui.</w:t>
            </w:r>
          </w:p>
        </w:tc>
      </w:tr>
      <w:tr w:rsidR="009B396B" w:rsidRPr="00506FEA" w14:paraId="4D66383E" w14:textId="77777777" w:rsidTr="00AB09A7">
        <w:tc>
          <w:tcPr>
            <w:tcW w:w="4809" w:type="dxa"/>
          </w:tcPr>
          <w:p w14:paraId="0E682C15" w14:textId="038A2FA4" w:rsidR="009B396B" w:rsidRPr="00506FEA" w:rsidRDefault="009B396B" w:rsidP="009B396B">
            <w:pPr>
              <w:rPr>
                <w:rFonts w:ascii="Times New Roman" w:hAnsi="Times New Roman" w:cs="Times New Roman"/>
                <w:color w:val="000000" w:themeColor="text1"/>
                <w:sz w:val="24"/>
                <w:szCs w:val="24"/>
                <w:lang w:val="en-US"/>
              </w:rPr>
            </w:pPr>
            <w:r w:rsidRPr="00506FEA">
              <w:rPr>
                <w:rFonts w:ascii="Times New Roman" w:hAnsi="Times New Roman" w:cs="Times New Roman"/>
                <w:sz w:val="24"/>
                <w:szCs w:val="24"/>
              </w:rPr>
              <w:lastRenderedPageBreak/>
              <w:t xml:space="preserve">Kaip </w:t>
            </w:r>
            <w:r w:rsidRPr="00506FEA">
              <w:rPr>
                <w:rFonts w:ascii="Times New Roman" w:hAnsi="Times New Roman" w:cs="Times New Roman"/>
                <w:i/>
                <w:sz w:val="24"/>
                <w:szCs w:val="24"/>
              </w:rPr>
              <w:t>force majeure</w:t>
            </w:r>
            <w:r w:rsidRPr="00506FEA">
              <w:rPr>
                <w:rFonts w:ascii="Times New Roman" w:hAnsi="Times New Roman" w:cs="Times New Roman"/>
                <w:sz w:val="24"/>
                <w:szCs w:val="24"/>
              </w:rPr>
              <w:t xml:space="preserve"> atveju dokumentuoti nuostolius ir fiksuoti mobilumą „Mobility Tool+“ sistemoje?</w:t>
            </w:r>
          </w:p>
        </w:tc>
        <w:tc>
          <w:tcPr>
            <w:tcW w:w="4819" w:type="dxa"/>
          </w:tcPr>
          <w:p w14:paraId="72AD6028" w14:textId="77777777" w:rsidR="00EA3E19" w:rsidRDefault="00C552BD" w:rsidP="00C552BD">
            <w:pPr>
              <w:pStyle w:val="ListParagraph"/>
              <w:numPr>
                <w:ilvl w:val="0"/>
                <w:numId w:val="8"/>
              </w:numPr>
              <w:tabs>
                <w:tab w:val="left" w:pos="318"/>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396B" w:rsidRPr="00C552BD">
              <w:rPr>
                <w:rFonts w:ascii="Times New Roman" w:hAnsi="Times New Roman" w:cs="Times New Roman"/>
                <w:color w:val="000000" w:themeColor="text1"/>
                <w:sz w:val="24"/>
                <w:szCs w:val="24"/>
              </w:rPr>
              <w:t>Būtinai išsaugokite dokumentus,</w:t>
            </w:r>
          </w:p>
          <w:p w14:paraId="4D6FCD63" w14:textId="4A9655AF" w:rsidR="009B396B" w:rsidRPr="00EA3E19" w:rsidRDefault="009B396B" w:rsidP="00EA3E19">
            <w:pPr>
              <w:tabs>
                <w:tab w:val="left" w:pos="318"/>
              </w:tabs>
              <w:spacing w:after="120"/>
              <w:ind w:left="29"/>
              <w:jc w:val="both"/>
              <w:rPr>
                <w:rFonts w:ascii="Times New Roman" w:hAnsi="Times New Roman" w:cs="Times New Roman"/>
                <w:color w:val="000000" w:themeColor="text1"/>
                <w:sz w:val="24"/>
                <w:szCs w:val="24"/>
              </w:rPr>
            </w:pPr>
            <w:r w:rsidRPr="00EA3E19">
              <w:rPr>
                <w:rFonts w:ascii="Times New Roman" w:hAnsi="Times New Roman" w:cs="Times New Roman"/>
                <w:color w:val="000000" w:themeColor="text1"/>
                <w:sz w:val="24"/>
                <w:szCs w:val="24"/>
              </w:rPr>
              <w:t xml:space="preserve">pagrindžiančius </w:t>
            </w:r>
            <w:r w:rsidRPr="00EA3E19">
              <w:rPr>
                <w:rFonts w:ascii="Times New Roman" w:hAnsi="Times New Roman" w:cs="Times New Roman"/>
                <w:i/>
                <w:color w:val="000000" w:themeColor="text1"/>
                <w:sz w:val="24"/>
                <w:szCs w:val="24"/>
              </w:rPr>
              <w:t>force majeure</w:t>
            </w:r>
            <w:r w:rsidRPr="00EA3E19">
              <w:rPr>
                <w:rFonts w:ascii="Times New Roman" w:hAnsi="Times New Roman" w:cs="Times New Roman"/>
                <w:color w:val="000000" w:themeColor="text1"/>
                <w:sz w:val="24"/>
                <w:szCs w:val="24"/>
              </w:rPr>
              <w:t xml:space="preserve"> atvejį (oficialių Lietuvos ir atitinkamos šalies rekomendacijų</w:t>
            </w:r>
            <w:r w:rsidR="00AE1C7B" w:rsidRPr="00EA3E19">
              <w:rPr>
                <w:rFonts w:ascii="Times New Roman" w:hAnsi="Times New Roman" w:cs="Times New Roman"/>
                <w:color w:val="000000" w:themeColor="text1"/>
                <w:sz w:val="24"/>
                <w:szCs w:val="24"/>
              </w:rPr>
              <w:t xml:space="preserve"> momentines ekrano kopijas (angl. </w:t>
            </w:r>
            <w:r w:rsidRPr="00EA3E19">
              <w:rPr>
                <w:rFonts w:ascii="Times New Roman" w:hAnsi="Times New Roman" w:cs="Times New Roman"/>
                <w:i/>
                <w:color w:val="000000" w:themeColor="text1"/>
                <w:sz w:val="24"/>
                <w:szCs w:val="24"/>
              </w:rPr>
              <w:t>printscreens</w:t>
            </w:r>
            <w:r w:rsidR="00AE1C7B" w:rsidRPr="00EA3E19">
              <w:rPr>
                <w:rFonts w:ascii="Times New Roman" w:hAnsi="Times New Roman" w:cs="Times New Roman"/>
                <w:i/>
                <w:color w:val="000000" w:themeColor="text1"/>
                <w:sz w:val="24"/>
                <w:szCs w:val="24"/>
              </w:rPr>
              <w:t>)</w:t>
            </w:r>
            <w:r w:rsidRPr="00EA3E19">
              <w:rPr>
                <w:rFonts w:ascii="Times New Roman" w:hAnsi="Times New Roman" w:cs="Times New Roman"/>
                <w:color w:val="000000" w:themeColor="text1"/>
                <w:sz w:val="24"/>
                <w:szCs w:val="24"/>
              </w:rPr>
              <w:t>, partnerių atsisakym</w:t>
            </w:r>
            <w:r w:rsidR="00071D64" w:rsidRPr="00EA3E19">
              <w:rPr>
                <w:rFonts w:ascii="Times New Roman" w:hAnsi="Times New Roman" w:cs="Times New Roman"/>
                <w:color w:val="000000" w:themeColor="text1"/>
                <w:sz w:val="24"/>
                <w:szCs w:val="24"/>
              </w:rPr>
              <w:t>ą</w:t>
            </w:r>
            <w:r w:rsidRPr="00EA3E19">
              <w:rPr>
                <w:rFonts w:ascii="Times New Roman" w:hAnsi="Times New Roman" w:cs="Times New Roman"/>
                <w:color w:val="000000" w:themeColor="text1"/>
                <w:sz w:val="24"/>
                <w:szCs w:val="24"/>
              </w:rPr>
              <w:t xml:space="preserve"> dalyvauti/priimti mobilumuose ir pan.).</w:t>
            </w:r>
          </w:p>
          <w:p w14:paraId="046204E7" w14:textId="77777777" w:rsidR="00EA3E19" w:rsidRDefault="009B396B" w:rsidP="00071D64">
            <w:pPr>
              <w:pStyle w:val="ListParagraph"/>
              <w:numPr>
                <w:ilvl w:val="0"/>
                <w:numId w:val="8"/>
              </w:numPr>
              <w:tabs>
                <w:tab w:val="left" w:pos="318"/>
              </w:tabs>
              <w:spacing w:after="120"/>
              <w:jc w:val="both"/>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Atlikite visus reikalingus veiksmus, siekiant</w:t>
            </w:r>
          </w:p>
          <w:p w14:paraId="55272BCD" w14:textId="7E9F4F50" w:rsidR="009B396B" w:rsidRPr="006E4CEB" w:rsidRDefault="009B396B" w:rsidP="006E4CEB">
            <w:pPr>
              <w:tabs>
                <w:tab w:val="left" w:pos="318"/>
              </w:tabs>
              <w:spacing w:after="120"/>
              <w:ind w:left="29"/>
              <w:jc w:val="both"/>
              <w:rPr>
                <w:rFonts w:ascii="Times New Roman" w:hAnsi="Times New Roman" w:cs="Times New Roman"/>
                <w:color w:val="000000" w:themeColor="text1"/>
                <w:sz w:val="24"/>
                <w:szCs w:val="24"/>
              </w:rPr>
            </w:pPr>
            <w:r w:rsidRPr="006E4CEB">
              <w:rPr>
                <w:rFonts w:ascii="Times New Roman" w:hAnsi="Times New Roman" w:cs="Times New Roman"/>
                <w:color w:val="000000" w:themeColor="text1"/>
                <w:sz w:val="24"/>
                <w:szCs w:val="24"/>
              </w:rPr>
              <w:t xml:space="preserve"> </w:t>
            </w:r>
            <w:r w:rsidR="00EA3E19">
              <w:rPr>
                <w:rFonts w:ascii="Times New Roman" w:hAnsi="Times New Roman" w:cs="Times New Roman"/>
                <w:color w:val="000000" w:themeColor="text1"/>
                <w:sz w:val="24"/>
                <w:szCs w:val="24"/>
              </w:rPr>
              <w:t>s</w:t>
            </w:r>
            <w:r w:rsidRPr="006E4CEB">
              <w:rPr>
                <w:rFonts w:ascii="Times New Roman" w:hAnsi="Times New Roman" w:cs="Times New Roman"/>
                <w:color w:val="000000" w:themeColor="text1"/>
                <w:sz w:val="24"/>
                <w:szCs w:val="24"/>
              </w:rPr>
              <w:t>usigrąžinti patirtus nuostolius už neįvykusius mobilumus, ir tai dokumentuokite (pvz.</w:t>
            </w:r>
            <w:r w:rsidR="00071D64" w:rsidRPr="006E4CEB">
              <w:rPr>
                <w:rFonts w:ascii="Times New Roman" w:hAnsi="Times New Roman" w:cs="Times New Roman"/>
                <w:color w:val="000000" w:themeColor="text1"/>
                <w:sz w:val="24"/>
                <w:szCs w:val="24"/>
              </w:rPr>
              <w:t>,</w:t>
            </w:r>
            <w:r w:rsidRPr="006E4CEB">
              <w:rPr>
                <w:rFonts w:ascii="Times New Roman" w:hAnsi="Times New Roman" w:cs="Times New Roman"/>
                <w:color w:val="000000" w:themeColor="text1"/>
                <w:sz w:val="24"/>
                <w:szCs w:val="24"/>
              </w:rPr>
              <w:t xml:space="preserve"> susirašinėjimas raštu su kelionių agentūra ar viešbučiu dėl lėšų grąžinimo už nesuteiktas paslaugas, prašymas grąžinti užstatą už nuomojamą būstą ir pan.). Atkreipiame dėmesį, kad </w:t>
            </w:r>
            <w:r w:rsidR="00071D64" w:rsidRPr="006E4CEB">
              <w:rPr>
                <w:rFonts w:ascii="Times New Roman" w:hAnsi="Times New Roman" w:cs="Times New Roman"/>
                <w:color w:val="000000" w:themeColor="text1"/>
                <w:sz w:val="24"/>
                <w:szCs w:val="24"/>
              </w:rPr>
              <w:t xml:space="preserve">kompensuojamos </w:t>
            </w:r>
            <w:r w:rsidRPr="006E4CEB">
              <w:rPr>
                <w:rFonts w:ascii="Times New Roman" w:hAnsi="Times New Roman" w:cs="Times New Roman"/>
                <w:color w:val="000000" w:themeColor="text1"/>
                <w:sz w:val="24"/>
                <w:szCs w:val="24"/>
              </w:rPr>
              <w:t>gali būti tik faktinės mobilumo dalyvio patirtos išlaidos, kurios neviršija mobilumui skirtos dotacijos.</w:t>
            </w:r>
          </w:p>
          <w:p w14:paraId="20DEA230" w14:textId="77777777" w:rsidR="00EA3E19" w:rsidRDefault="009B396B" w:rsidP="00071D64">
            <w:pPr>
              <w:pStyle w:val="ListParagraph"/>
              <w:numPr>
                <w:ilvl w:val="0"/>
                <w:numId w:val="8"/>
              </w:numPr>
              <w:tabs>
                <w:tab w:val="left" w:pos="318"/>
              </w:tabs>
              <w:spacing w:after="120"/>
              <w:jc w:val="both"/>
              <w:rPr>
                <w:rFonts w:ascii="Times New Roman" w:hAnsi="Times New Roman" w:cs="Times New Roman"/>
                <w:color w:val="000000" w:themeColor="text1"/>
                <w:sz w:val="24"/>
                <w:szCs w:val="24"/>
              </w:rPr>
            </w:pPr>
            <w:r w:rsidRPr="00071D64">
              <w:rPr>
                <w:rFonts w:ascii="Times New Roman" w:hAnsi="Times New Roman" w:cs="Times New Roman"/>
                <w:color w:val="000000" w:themeColor="text1"/>
                <w:sz w:val="24"/>
                <w:szCs w:val="24"/>
              </w:rPr>
              <w:t>„</w:t>
            </w:r>
            <w:r w:rsidR="00071D64">
              <w:rPr>
                <w:rFonts w:ascii="Times New Roman" w:hAnsi="Times New Roman" w:cs="Times New Roman"/>
                <w:color w:val="000000" w:themeColor="text1"/>
                <w:sz w:val="24"/>
                <w:szCs w:val="24"/>
              </w:rPr>
              <w:t>Mobility T</w:t>
            </w:r>
            <w:r w:rsidRPr="00071D64">
              <w:rPr>
                <w:rFonts w:ascii="Times New Roman" w:hAnsi="Times New Roman" w:cs="Times New Roman"/>
                <w:color w:val="000000" w:themeColor="text1"/>
                <w:sz w:val="24"/>
                <w:szCs w:val="24"/>
              </w:rPr>
              <w:t>ool+“ sistemoje, mobilumo</w:t>
            </w:r>
          </w:p>
          <w:p w14:paraId="2A0D5263" w14:textId="40B2B68F" w:rsidR="009B396B" w:rsidRPr="006E4CEB" w:rsidRDefault="009B396B" w:rsidP="006E4CEB">
            <w:pPr>
              <w:tabs>
                <w:tab w:val="left" w:pos="318"/>
              </w:tabs>
              <w:spacing w:after="120"/>
              <w:ind w:left="29"/>
              <w:jc w:val="both"/>
              <w:rPr>
                <w:rFonts w:ascii="Times New Roman" w:hAnsi="Times New Roman" w:cs="Times New Roman"/>
                <w:color w:val="000000" w:themeColor="text1"/>
                <w:sz w:val="24"/>
                <w:szCs w:val="24"/>
              </w:rPr>
            </w:pPr>
            <w:r w:rsidRPr="006E4CEB">
              <w:rPr>
                <w:rFonts w:ascii="Times New Roman" w:hAnsi="Times New Roman" w:cs="Times New Roman"/>
                <w:color w:val="000000" w:themeColor="text1"/>
                <w:sz w:val="24"/>
                <w:szCs w:val="24"/>
              </w:rPr>
              <w:t xml:space="preserve">dalyvio kortelėje fiksuokite </w:t>
            </w:r>
            <w:r w:rsidRPr="006E4CEB">
              <w:rPr>
                <w:rFonts w:ascii="Times New Roman" w:hAnsi="Times New Roman" w:cs="Times New Roman"/>
                <w:i/>
                <w:color w:val="000000" w:themeColor="text1"/>
                <w:sz w:val="24"/>
                <w:szCs w:val="24"/>
              </w:rPr>
              <w:t>force majeure</w:t>
            </w:r>
            <w:r w:rsidRPr="006E4CEB">
              <w:rPr>
                <w:rFonts w:ascii="Times New Roman" w:hAnsi="Times New Roman" w:cs="Times New Roman"/>
                <w:color w:val="000000" w:themeColor="text1"/>
                <w:sz w:val="24"/>
                <w:szCs w:val="24"/>
              </w:rPr>
              <w:t xml:space="preserve"> atvejį. Tuomet MT+ sistema leis laisvai koreguoti duomenis: pakoreguokite veiklos trukmę, mobilumo biudžeto dalyje ranka įveskite faktines mobilumo dalyvio patirtas išlaidas už kelionę ir pragyvenimo išlaidas, pastabose nurodykite priežastį.</w:t>
            </w:r>
          </w:p>
          <w:p w14:paraId="5AC83355" w14:textId="4B0231D2" w:rsidR="00491D00" w:rsidRPr="00354ADB" w:rsidRDefault="00354ADB" w:rsidP="00354ADB">
            <w:pPr>
              <w:tabs>
                <w:tab w:val="left" w:pos="318"/>
              </w:tabs>
              <w:spacing w:after="120"/>
              <w:jc w:val="both"/>
              <w:rPr>
                <w:rFonts w:ascii="Times New Roman" w:hAnsi="Times New Roman" w:cs="Times New Roman"/>
                <w:color w:val="000000" w:themeColor="text1"/>
                <w:sz w:val="24"/>
                <w:szCs w:val="24"/>
              </w:rPr>
            </w:pPr>
            <w:r w:rsidRPr="00354ADB">
              <w:rPr>
                <w:rFonts w:ascii="Times New Roman" w:hAnsi="Times New Roman" w:cs="Times New Roman"/>
                <w:color w:val="000000" w:themeColor="text1"/>
                <w:sz w:val="24"/>
                <w:szCs w:val="24"/>
              </w:rPr>
              <w:t>Išsamios, Europos Komisijos parengtos gairės</w:t>
            </w:r>
            <w:r w:rsidR="00C678B4">
              <w:rPr>
                <w:rFonts w:ascii="Times New Roman" w:hAnsi="Times New Roman" w:cs="Times New Roman"/>
                <w:color w:val="000000" w:themeColor="text1"/>
                <w:sz w:val="24"/>
                <w:szCs w:val="24"/>
              </w:rPr>
              <w:t xml:space="preserve"> kaip </w:t>
            </w:r>
            <w:r w:rsidR="00C678B4" w:rsidRPr="00C678B4">
              <w:rPr>
                <w:rFonts w:ascii="Times New Roman" w:hAnsi="Times New Roman" w:cs="Times New Roman"/>
                <w:i/>
                <w:color w:val="000000" w:themeColor="text1"/>
                <w:sz w:val="24"/>
                <w:szCs w:val="24"/>
              </w:rPr>
              <w:t>force majeure</w:t>
            </w:r>
            <w:r w:rsidR="00C678B4">
              <w:rPr>
                <w:rFonts w:ascii="Times New Roman" w:hAnsi="Times New Roman" w:cs="Times New Roman"/>
                <w:color w:val="000000" w:themeColor="text1"/>
                <w:sz w:val="24"/>
                <w:szCs w:val="24"/>
              </w:rPr>
              <w:t xml:space="preserve"> atveju fiksuoti mobilumus </w:t>
            </w:r>
            <w:r w:rsidR="007F5863">
              <w:rPr>
                <w:rFonts w:ascii="Times New Roman" w:hAnsi="Times New Roman" w:cs="Times New Roman"/>
                <w:color w:val="000000" w:themeColor="text1"/>
                <w:sz w:val="24"/>
                <w:szCs w:val="24"/>
              </w:rPr>
              <w:t>„</w:t>
            </w:r>
            <w:r w:rsidR="00C678B4">
              <w:rPr>
                <w:rFonts w:ascii="Times New Roman" w:hAnsi="Times New Roman" w:cs="Times New Roman"/>
                <w:color w:val="000000" w:themeColor="text1"/>
                <w:sz w:val="24"/>
                <w:szCs w:val="24"/>
              </w:rPr>
              <w:t>Mobility Tool+</w:t>
            </w:r>
            <w:r w:rsidR="007F5863">
              <w:rPr>
                <w:rFonts w:ascii="Times New Roman" w:hAnsi="Times New Roman" w:cs="Times New Roman"/>
                <w:color w:val="000000" w:themeColor="text1"/>
                <w:sz w:val="24"/>
                <w:szCs w:val="24"/>
              </w:rPr>
              <w:t>“</w:t>
            </w:r>
            <w:r w:rsidR="00C678B4">
              <w:rPr>
                <w:rFonts w:ascii="Times New Roman" w:hAnsi="Times New Roman" w:cs="Times New Roman"/>
                <w:color w:val="000000" w:themeColor="text1"/>
                <w:sz w:val="24"/>
                <w:szCs w:val="24"/>
              </w:rPr>
              <w:t xml:space="preserve"> sistemoje</w:t>
            </w:r>
            <w:r w:rsidRPr="00354ADB">
              <w:rPr>
                <w:rFonts w:ascii="Times New Roman" w:hAnsi="Times New Roman" w:cs="Times New Roman"/>
                <w:color w:val="000000" w:themeColor="text1"/>
                <w:sz w:val="24"/>
                <w:szCs w:val="24"/>
              </w:rPr>
              <w:t xml:space="preserve"> skelbiamos šioje </w:t>
            </w:r>
            <w:hyperlink r:id="rId7" w:history="1">
              <w:r w:rsidRPr="00354ADB">
                <w:rPr>
                  <w:rStyle w:val="Hyperlink"/>
                  <w:rFonts w:ascii="Times New Roman" w:hAnsi="Times New Roman" w:cs="Times New Roman"/>
                  <w:sz w:val="24"/>
                  <w:szCs w:val="24"/>
                </w:rPr>
                <w:t>nuorodoje</w:t>
              </w:r>
            </w:hyperlink>
            <w:r w:rsidRPr="00354ADB">
              <w:rPr>
                <w:rFonts w:ascii="Times New Roman" w:hAnsi="Times New Roman" w:cs="Times New Roman"/>
                <w:color w:val="000000" w:themeColor="text1"/>
                <w:sz w:val="24"/>
                <w:szCs w:val="24"/>
              </w:rPr>
              <w:t>.</w:t>
            </w:r>
          </w:p>
        </w:tc>
      </w:tr>
      <w:tr w:rsidR="005562BD" w:rsidRPr="00506FEA" w14:paraId="22D4F417" w14:textId="77777777" w:rsidTr="00AB09A7">
        <w:tc>
          <w:tcPr>
            <w:tcW w:w="4809" w:type="dxa"/>
          </w:tcPr>
          <w:p w14:paraId="3189FD39" w14:textId="314BB237" w:rsidR="005562BD" w:rsidRPr="00506FEA" w:rsidRDefault="005562BD" w:rsidP="00A84E70">
            <w:pPr>
              <w:rPr>
                <w:rFonts w:ascii="Times New Roman" w:hAnsi="Times New Roman" w:cs="Times New Roman"/>
                <w:sz w:val="24"/>
                <w:szCs w:val="24"/>
              </w:rPr>
            </w:pPr>
            <w:r w:rsidRPr="005562BD">
              <w:rPr>
                <w:rFonts w:ascii="Times New Roman" w:hAnsi="Times New Roman" w:cs="Times New Roman"/>
                <w:sz w:val="24"/>
                <w:szCs w:val="24"/>
              </w:rPr>
              <w:t xml:space="preserve">Ar bus didinama projekto dotacija dėl patirtų </w:t>
            </w:r>
            <w:r w:rsidR="00A84E70">
              <w:rPr>
                <w:rFonts w:ascii="Times New Roman" w:hAnsi="Times New Roman" w:cs="Times New Roman"/>
                <w:sz w:val="24"/>
                <w:szCs w:val="24"/>
              </w:rPr>
              <w:t xml:space="preserve">papildomų </w:t>
            </w:r>
            <w:r w:rsidRPr="005562BD">
              <w:rPr>
                <w:rFonts w:ascii="Times New Roman" w:hAnsi="Times New Roman" w:cs="Times New Roman"/>
                <w:sz w:val="24"/>
                <w:szCs w:val="24"/>
              </w:rPr>
              <w:t>išlaidų</w:t>
            </w:r>
            <w:r>
              <w:rPr>
                <w:rFonts w:ascii="Times New Roman" w:hAnsi="Times New Roman" w:cs="Times New Roman"/>
                <w:sz w:val="24"/>
                <w:szCs w:val="24"/>
              </w:rPr>
              <w:t>?</w:t>
            </w:r>
          </w:p>
        </w:tc>
        <w:tc>
          <w:tcPr>
            <w:tcW w:w="4819" w:type="dxa"/>
          </w:tcPr>
          <w:p w14:paraId="15C43293" w14:textId="6DBF2C82" w:rsidR="005562BD" w:rsidRDefault="005562BD" w:rsidP="005562BD">
            <w:pPr>
              <w:tabs>
                <w:tab w:val="left" w:pos="318"/>
              </w:tabs>
              <w:spacing w:after="120"/>
              <w:jc w:val="both"/>
              <w:rPr>
                <w:rFonts w:ascii="Times New Roman" w:hAnsi="Times New Roman" w:cs="Times New Roman"/>
                <w:color w:val="000000" w:themeColor="text1"/>
                <w:sz w:val="24"/>
                <w:szCs w:val="24"/>
              </w:rPr>
            </w:pPr>
            <w:r w:rsidRPr="005562BD">
              <w:rPr>
                <w:rFonts w:ascii="Times New Roman" w:hAnsi="Times New Roman" w:cs="Times New Roman"/>
                <w:color w:val="000000" w:themeColor="text1"/>
                <w:sz w:val="24"/>
                <w:szCs w:val="24"/>
              </w:rPr>
              <w:t>Visais atvej</w:t>
            </w:r>
            <w:r>
              <w:rPr>
                <w:rFonts w:ascii="Times New Roman" w:hAnsi="Times New Roman" w:cs="Times New Roman"/>
                <w:color w:val="000000" w:themeColor="text1"/>
                <w:sz w:val="24"/>
                <w:szCs w:val="24"/>
              </w:rPr>
              <w:t xml:space="preserve">ais kompensuojamų išlaidų dydis </w:t>
            </w:r>
            <w:r w:rsidRPr="005562B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egali viršyti skirtos dotacijos</w:t>
            </w:r>
            <w:r w:rsidR="00EA3E19">
              <w:rPr>
                <w:rFonts w:ascii="Times New Roman" w:hAnsi="Times New Roman" w:cs="Times New Roman"/>
                <w:color w:val="000000" w:themeColor="text1"/>
                <w:sz w:val="24"/>
                <w:szCs w:val="24"/>
              </w:rPr>
              <w:t xml:space="preserve"> institucijai</w:t>
            </w:r>
            <w:r>
              <w:rPr>
                <w:rFonts w:ascii="Times New Roman" w:hAnsi="Times New Roman" w:cs="Times New Roman"/>
                <w:color w:val="000000" w:themeColor="text1"/>
                <w:sz w:val="24"/>
                <w:szCs w:val="24"/>
              </w:rPr>
              <w:t>, kuri nebus didinama.</w:t>
            </w:r>
          </w:p>
        </w:tc>
      </w:tr>
      <w:tr w:rsidR="009B396B" w:rsidRPr="00506FEA" w14:paraId="3F8F61A3" w14:textId="77777777" w:rsidTr="00AB09A7">
        <w:tc>
          <w:tcPr>
            <w:tcW w:w="4809" w:type="dxa"/>
          </w:tcPr>
          <w:p w14:paraId="6E7AEC94" w14:textId="380ABCE6" w:rsidR="009B396B" w:rsidRPr="00506FEA" w:rsidRDefault="009B396B" w:rsidP="009B396B">
            <w:pPr>
              <w:rPr>
                <w:rFonts w:ascii="Times New Roman" w:hAnsi="Times New Roman" w:cs="Times New Roman"/>
                <w:sz w:val="24"/>
                <w:szCs w:val="24"/>
              </w:rPr>
            </w:pPr>
            <w:r>
              <w:rPr>
                <w:rFonts w:ascii="Times New Roman" w:hAnsi="Times New Roman" w:cs="Times New Roman"/>
                <w:sz w:val="24"/>
                <w:szCs w:val="24"/>
              </w:rPr>
              <w:t>Ar gali būti kompensuotos išlaidos, nenumatytos dotacijos sutartyje?</w:t>
            </w:r>
          </w:p>
        </w:tc>
        <w:tc>
          <w:tcPr>
            <w:tcW w:w="4819" w:type="dxa"/>
          </w:tcPr>
          <w:p w14:paraId="5FE8679F" w14:textId="609A8B75" w:rsidR="009B396B" w:rsidRDefault="009B396B" w:rsidP="009B396B">
            <w:pPr>
              <w:tabs>
                <w:tab w:val="left" w:pos="318"/>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Pripažinus</w:t>
            </w:r>
            <w:r w:rsidRPr="00C84688">
              <w:rPr>
                <w:rFonts w:ascii="Times New Roman" w:hAnsi="Times New Roman" w:cs="Times New Roman"/>
                <w:i/>
                <w:color w:val="000000" w:themeColor="text1"/>
                <w:sz w:val="24"/>
                <w:szCs w:val="24"/>
              </w:rPr>
              <w:t xml:space="preserve"> force majeure</w:t>
            </w:r>
            <w:r>
              <w:rPr>
                <w:rFonts w:ascii="Times New Roman" w:hAnsi="Times New Roman" w:cs="Times New Roman"/>
                <w:color w:val="000000" w:themeColor="text1"/>
                <w:sz w:val="24"/>
                <w:szCs w:val="24"/>
              </w:rPr>
              <w:t xml:space="preserve"> atvejus gali būti kompensuojamos papildomos išlaidos pateikus mobilumo dalyvio pateiktus pagrindžiančius dokumentus bei dotacijos gavėjo pasirašytą deklaraciją, kad šių išlaidų negali padengti iš </w:t>
            </w:r>
            <w:r>
              <w:rPr>
                <w:rFonts w:ascii="Times New Roman" w:hAnsi="Times New Roman" w:cs="Times New Roman"/>
                <w:color w:val="000000" w:themeColor="text1"/>
                <w:sz w:val="24"/>
                <w:szCs w:val="24"/>
              </w:rPr>
              <w:lastRenderedPageBreak/>
              <w:t>kitų šaltinių (pvz.</w:t>
            </w:r>
            <w:r w:rsidR="00071D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draudimo, mobilumo organizavimui skirtų išlaidų ir pan.). </w:t>
            </w:r>
          </w:p>
          <w:p w14:paraId="7CD2D702" w14:textId="2FFF1B19" w:rsidR="009B396B" w:rsidRPr="00D52E63" w:rsidRDefault="009B396B" w:rsidP="009B396B">
            <w:pPr>
              <w:tabs>
                <w:tab w:val="left" w:pos="318"/>
              </w:tabs>
              <w:spacing w:after="120"/>
              <w:jc w:val="both"/>
              <w:rPr>
                <w:rFonts w:ascii="Times New Roman" w:hAnsi="Times New Roman" w:cs="Times New Roman"/>
                <w:color w:val="000000" w:themeColor="text1"/>
                <w:sz w:val="24"/>
                <w:szCs w:val="24"/>
              </w:rPr>
            </w:pPr>
            <w:r w:rsidRPr="00C84688">
              <w:rPr>
                <w:rFonts w:ascii="Times New Roman" w:hAnsi="Times New Roman" w:cs="Times New Roman"/>
                <w:b/>
                <w:color w:val="000000" w:themeColor="text1"/>
                <w:sz w:val="24"/>
                <w:szCs w:val="24"/>
              </w:rPr>
              <w:t>Visais atvejais kompensuojamų išlaidų dydis negali viršyti skirtos dotacijos.</w:t>
            </w:r>
          </w:p>
        </w:tc>
      </w:tr>
      <w:tr w:rsidR="00CE222D" w:rsidRPr="00506FEA" w14:paraId="0C1C62AE" w14:textId="77777777" w:rsidTr="00AB09A7">
        <w:tc>
          <w:tcPr>
            <w:tcW w:w="4809" w:type="dxa"/>
          </w:tcPr>
          <w:p w14:paraId="424289AB" w14:textId="51797D9B" w:rsidR="00CE222D" w:rsidRPr="00407B6A" w:rsidRDefault="00713467" w:rsidP="00713467">
            <w:pPr>
              <w:rPr>
                <w:rFonts w:ascii="Times New Roman" w:hAnsi="Times New Roman" w:cs="Times New Roman"/>
                <w:sz w:val="24"/>
                <w:szCs w:val="24"/>
              </w:rPr>
            </w:pPr>
            <w:r w:rsidRPr="00407B6A">
              <w:rPr>
                <w:rFonts w:ascii="Times New Roman" w:hAnsi="Times New Roman" w:cs="Times New Roman"/>
                <w:sz w:val="24"/>
                <w:szCs w:val="24"/>
              </w:rPr>
              <w:lastRenderedPageBreak/>
              <w:t xml:space="preserve">Ar </w:t>
            </w:r>
            <w:r w:rsidR="00CE222D" w:rsidRPr="00407B6A">
              <w:rPr>
                <w:rFonts w:ascii="Times New Roman" w:hAnsi="Times New Roman" w:cs="Times New Roman"/>
                <w:sz w:val="24"/>
                <w:szCs w:val="24"/>
              </w:rPr>
              <w:t>studijo</w:t>
            </w:r>
            <w:r w:rsidRPr="00407B6A">
              <w:rPr>
                <w:rFonts w:ascii="Times New Roman" w:hAnsi="Times New Roman" w:cs="Times New Roman"/>
                <w:sz w:val="24"/>
                <w:szCs w:val="24"/>
              </w:rPr>
              <w:t>s nuotoliniu būdu gali būti užskaitytos kaip „Erasmus+“ mobilumas?</w:t>
            </w:r>
          </w:p>
        </w:tc>
        <w:tc>
          <w:tcPr>
            <w:tcW w:w="4819" w:type="dxa"/>
          </w:tcPr>
          <w:p w14:paraId="3C0CFB2E" w14:textId="77777777" w:rsidR="00CE222D" w:rsidRDefault="00921522" w:rsidP="00A84E70">
            <w:pPr>
              <w:tabs>
                <w:tab w:val="left" w:pos="318"/>
              </w:tabs>
              <w:spacing w:after="120"/>
              <w:jc w:val="both"/>
              <w:rPr>
                <w:rFonts w:ascii="Times New Roman" w:hAnsi="Times New Roman" w:cs="Times New Roman"/>
                <w:color w:val="000000" w:themeColor="text1"/>
                <w:sz w:val="24"/>
                <w:szCs w:val="24"/>
              </w:rPr>
            </w:pPr>
            <w:r w:rsidRPr="00407B6A">
              <w:rPr>
                <w:rFonts w:ascii="Times New Roman" w:hAnsi="Times New Roman" w:cs="Times New Roman"/>
                <w:color w:val="000000" w:themeColor="text1"/>
                <w:sz w:val="24"/>
                <w:szCs w:val="24"/>
              </w:rPr>
              <w:t xml:space="preserve">Šiuo metu daugelis priimančiųjų institucijų suteikia galimybę studentams tęsti studijas nuotoliniu būdu. Kai kuriais atvejais studentai jau yra grįžę į savo gimtąsias šalis, tačiau ir toliau </w:t>
            </w:r>
            <w:r w:rsidR="00B85166" w:rsidRPr="00407B6A">
              <w:rPr>
                <w:rFonts w:ascii="Times New Roman" w:hAnsi="Times New Roman" w:cs="Times New Roman"/>
                <w:color w:val="000000" w:themeColor="text1"/>
                <w:sz w:val="24"/>
                <w:szCs w:val="24"/>
              </w:rPr>
              <w:t>studijuoja</w:t>
            </w:r>
            <w:r w:rsidRPr="00407B6A">
              <w:rPr>
                <w:rFonts w:ascii="Times New Roman" w:hAnsi="Times New Roman" w:cs="Times New Roman"/>
                <w:color w:val="000000" w:themeColor="text1"/>
                <w:sz w:val="24"/>
                <w:szCs w:val="24"/>
              </w:rPr>
              <w:t xml:space="preserve"> priimančiojoje institucijose. Atsižvelgiant į šias išimtines aplinkybes, </w:t>
            </w:r>
            <w:r w:rsidR="00436AAC" w:rsidRPr="00407B6A">
              <w:rPr>
                <w:rFonts w:ascii="Times New Roman" w:hAnsi="Times New Roman" w:cs="Times New Roman"/>
                <w:color w:val="000000" w:themeColor="text1"/>
                <w:sz w:val="24"/>
                <w:szCs w:val="24"/>
              </w:rPr>
              <w:t xml:space="preserve">2020-03-19 </w:t>
            </w:r>
            <w:r w:rsidRPr="00407B6A">
              <w:rPr>
                <w:rFonts w:ascii="Times New Roman" w:hAnsi="Times New Roman" w:cs="Times New Roman"/>
                <w:color w:val="000000" w:themeColor="text1"/>
                <w:sz w:val="24"/>
                <w:szCs w:val="24"/>
              </w:rPr>
              <w:t xml:space="preserve">Europos Komisija </w:t>
            </w:r>
            <w:r w:rsidR="00436AAC" w:rsidRPr="00407B6A">
              <w:rPr>
                <w:rFonts w:ascii="Times New Roman" w:hAnsi="Times New Roman" w:cs="Times New Roman"/>
                <w:color w:val="000000" w:themeColor="text1"/>
                <w:sz w:val="24"/>
                <w:szCs w:val="24"/>
              </w:rPr>
              <w:t xml:space="preserve">patvirtino, kad </w:t>
            </w:r>
            <w:r w:rsidRPr="00407B6A">
              <w:rPr>
                <w:rFonts w:ascii="Times New Roman" w:hAnsi="Times New Roman" w:cs="Times New Roman"/>
                <w:color w:val="000000" w:themeColor="text1"/>
                <w:sz w:val="24"/>
                <w:szCs w:val="24"/>
              </w:rPr>
              <w:t>laikys tinkama bet kokią tokią nuotolinio mokymosi</w:t>
            </w:r>
            <w:r w:rsidR="003746D6">
              <w:rPr>
                <w:rFonts w:ascii="Times New Roman" w:hAnsi="Times New Roman" w:cs="Times New Roman"/>
                <w:color w:val="000000" w:themeColor="text1"/>
                <w:sz w:val="24"/>
                <w:szCs w:val="24"/>
              </w:rPr>
              <w:t xml:space="preserve"> </w:t>
            </w:r>
            <w:r w:rsidR="00A84E70" w:rsidRPr="00407B6A">
              <w:rPr>
                <w:rFonts w:ascii="Times New Roman" w:hAnsi="Times New Roman" w:cs="Times New Roman"/>
                <w:color w:val="000000" w:themeColor="text1"/>
                <w:sz w:val="24"/>
                <w:szCs w:val="24"/>
              </w:rPr>
              <w:t>formą</w:t>
            </w:r>
            <w:r w:rsidRPr="00407B6A">
              <w:rPr>
                <w:rFonts w:ascii="Times New Roman" w:hAnsi="Times New Roman" w:cs="Times New Roman"/>
                <w:color w:val="000000" w:themeColor="text1"/>
                <w:sz w:val="24"/>
                <w:szCs w:val="24"/>
              </w:rPr>
              <w:t xml:space="preserve">, jei </w:t>
            </w:r>
            <w:r w:rsidR="00A84E70" w:rsidRPr="00407B6A">
              <w:rPr>
                <w:rFonts w:ascii="Times New Roman" w:hAnsi="Times New Roman" w:cs="Times New Roman"/>
                <w:color w:val="000000" w:themeColor="text1"/>
                <w:sz w:val="24"/>
                <w:szCs w:val="24"/>
              </w:rPr>
              <w:t xml:space="preserve">ši veikla </w:t>
            </w:r>
            <w:r w:rsidRPr="00407B6A">
              <w:rPr>
                <w:rFonts w:ascii="Times New Roman" w:hAnsi="Times New Roman" w:cs="Times New Roman"/>
                <w:color w:val="000000" w:themeColor="text1"/>
                <w:sz w:val="24"/>
                <w:szCs w:val="24"/>
              </w:rPr>
              <w:t xml:space="preserve"> prisidės </w:t>
            </w:r>
            <w:r w:rsidR="00A84E70" w:rsidRPr="00407B6A">
              <w:rPr>
                <w:rFonts w:ascii="Times New Roman" w:hAnsi="Times New Roman" w:cs="Times New Roman"/>
                <w:color w:val="000000" w:themeColor="text1"/>
                <w:sz w:val="24"/>
                <w:szCs w:val="24"/>
              </w:rPr>
              <w:t xml:space="preserve">prie </w:t>
            </w:r>
            <w:r w:rsidRPr="00407B6A">
              <w:rPr>
                <w:rFonts w:ascii="Times New Roman" w:hAnsi="Times New Roman" w:cs="Times New Roman"/>
                <w:color w:val="000000" w:themeColor="text1"/>
                <w:sz w:val="24"/>
                <w:szCs w:val="24"/>
              </w:rPr>
              <w:t>mokymosi rezultatų, numatytų studijų sutartyse, pasiekimo. Tikimasi, kad siunčiančiosios institucijos bus kiek įmanoma lankstesnės, kad studentams būtų pilnai pripažinti ECTS, įgyti studijų nuotoliniu būdu metu.</w:t>
            </w:r>
          </w:p>
          <w:p w14:paraId="1046445F" w14:textId="77777777" w:rsidR="00ED1360" w:rsidRDefault="00ED1360" w:rsidP="007A14E8">
            <w:pPr>
              <w:tabs>
                <w:tab w:val="left" w:pos="318"/>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Pagal 2020-03-23 Europos Komisijos išaiškinimą, n</w:t>
            </w:r>
            <w:r w:rsidRPr="00ED1360">
              <w:rPr>
                <w:rFonts w:ascii="Times New Roman" w:hAnsi="Times New Roman" w:cs="Times New Roman"/>
                <w:color w:val="000000" w:themeColor="text1"/>
                <w:sz w:val="24"/>
                <w:szCs w:val="24"/>
              </w:rPr>
              <w:t>uotolinio mokymosi procesas turi būti suderintas tarp siunčiančios ir priimančios institucijų, mokymosi rezultatai turės būti atitinkamai įvertinti ir užskaityti kreditai. Tik laikantis šių sąlygų studentui skirta „Erasmus+“ stipendija galės būti paliekama ir neprašoma grąžinti (nepaisant to ar nuotolinės studijos tęsiamos užsien</w:t>
            </w:r>
            <w:r>
              <w:rPr>
                <w:rFonts w:ascii="Times New Roman" w:hAnsi="Times New Roman" w:cs="Times New Roman"/>
                <w:color w:val="000000" w:themeColor="text1"/>
                <w:sz w:val="24"/>
                <w:szCs w:val="24"/>
              </w:rPr>
              <w:t xml:space="preserve">yje ar grįžus į gimtąją šalį). </w:t>
            </w:r>
            <w:r w:rsidR="007A14E8">
              <w:rPr>
                <w:rFonts w:ascii="Times New Roman" w:hAnsi="Times New Roman" w:cs="Times New Roman"/>
                <w:color w:val="000000" w:themeColor="text1"/>
                <w:sz w:val="24"/>
                <w:szCs w:val="24"/>
              </w:rPr>
              <w:t xml:space="preserve">Paliekant stipendiją </w:t>
            </w:r>
            <w:r>
              <w:rPr>
                <w:rFonts w:ascii="Times New Roman" w:hAnsi="Times New Roman" w:cs="Times New Roman"/>
                <w:color w:val="000000" w:themeColor="text1"/>
                <w:sz w:val="24"/>
                <w:szCs w:val="24"/>
              </w:rPr>
              <w:t>p</w:t>
            </w:r>
            <w:r w:rsidRPr="00ED1360">
              <w:rPr>
                <w:rFonts w:ascii="Times New Roman" w:hAnsi="Times New Roman" w:cs="Times New Roman"/>
                <w:color w:val="000000" w:themeColor="text1"/>
                <w:sz w:val="24"/>
                <w:szCs w:val="24"/>
              </w:rPr>
              <w:t>apildomos išlaidos</w:t>
            </w:r>
            <w:r>
              <w:rPr>
                <w:rFonts w:ascii="Times New Roman" w:hAnsi="Times New Roman" w:cs="Times New Roman"/>
                <w:color w:val="000000" w:themeColor="text1"/>
                <w:sz w:val="24"/>
                <w:szCs w:val="24"/>
              </w:rPr>
              <w:t xml:space="preserve"> studentams</w:t>
            </w:r>
            <w:r w:rsidRPr="00ED1360">
              <w:rPr>
                <w:rFonts w:ascii="Times New Roman" w:hAnsi="Times New Roman" w:cs="Times New Roman"/>
                <w:color w:val="000000" w:themeColor="text1"/>
                <w:sz w:val="24"/>
                <w:szCs w:val="24"/>
              </w:rPr>
              <w:t xml:space="preserve"> nebus  kompensuojamos.</w:t>
            </w:r>
          </w:p>
          <w:p w14:paraId="0DA8499A" w14:textId="272B698C" w:rsidR="00491D00" w:rsidRPr="00407B6A" w:rsidRDefault="00491D00" w:rsidP="00BD5F0D">
            <w:pPr>
              <w:tabs>
                <w:tab w:val="left" w:pos="318"/>
              </w:tabs>
              <w:spacing w:after="120"/>
              <w:jc w:val="both"/>
              <w:rPr>
                <w:rFonts w:ascii="Times New Roman" w:hAnsi="Times New Roman" w:cs="Times New Roman"/>
                <w:color w:val="000000" w:themeColor="text1"/>
                <w:sz w:val="24"/>
                <w:szCs w:val="24"/>
              </w:rPr>
            </w:pPr>
            <w:r w:rsidRPr="00491D00">
              <w:rPr>
                <w:rFonts w:ascii="Times New Roman" w:hAnsi="Times New Roman" w:cs="Times New Roman"/>
                <w:b/>
                <w:color w:val="000000" w:themeColor="text1"/>
                <w:sz w:val="24"/>
                <w:szCs w:val="24"/>
              </w:rPr>
              <w:t>Dėmesio!</w:t>
            </w:r>
            <w:r w:rsidRPr="00491D00">
              <w:rPr>
                <w:rFonts w:ascii="Times New Roman" w:hAnsi="Times New Roman" w:cs="Times New Roman"/>
                <w:color w:val="000000" w:themeColor="text1"/>
                <w:sz w:val="24"/>
                <w:szCs w:val="24"/>
              </w:rPr>
              <w:t xml:space="preserve"> Kiekvieną atvejį siunčianti </w:t>
            </w:r>
            <w:r w:rsidR="00BD5F0D">
              <w:rPr>
                <w:rFonts w:ascii="Times New Roman" w:hAnsi="Times New Roman" w:cs="Times New Roman"/>
                <w:color w:val="000000" w:themeColor="text1"/>
                <w:sz w:val="24"/>
                <w:szCs w:val="24"/>
              </w:rPr>
              <w:t>institucija</w:t>
            </w:r>
            <w:r w:rsidRPr="00491D00">
              <w:rPr>
                <w:rFonts w:ascii="Times New Roman" w:hAnsi="Times New Roman" w:cs="Times New Roman"/>
                <w:color w:val="000000" w:themeColor="text1"/>
                <w:sz w:val="24"/>
                <w:szCs w:val="24"/>
              </w:rPr>
              <w:t xml:space="preserve"> </w:t>
            </w:r>
            <w:r w:rsidR="00BD5F0D" w:rsidRPr="00491D00">
              <w:rPr>
                <w:rFonts w:ascii="Times New Roman" w:hAnsi="Times New Roman" w:cs="Times New Roman"/>
                <w:color w:val="000000" w:themeColor="text1"/>
                <w:sz w:val="24"/>
                <w:szCs w:val="24"/>
              </w:rPr>
              <w:t>nagrin</w:t>
            </w:r>
            <w:r w:rsidR="00BD5F0D">
              <w:rPr>
                <w:rFonts w:ascii="Times New Roman" w:hAnsi="Times New Roman" w:cs="Times New Roman"/>
                <w:color w:val="000000" w:themeColor="text1"/>
                <w:sz w:val="24"/>
                <w:szCs w:val="24"/>
              </w:rPr>
              <w:t>ėja</w:t>
            </w:r>
            <w:r w:rsidR="00BD5F0D" w:rsidRPr="00491D00">
              <w:rPr>
                <w:rFonts w:ascii="Times New Roman" w:hAnsi="Times New Roman" w:cs="Times New Roman"/>
                <w:color w:val="000000" w:themeColor="text1"/>
                <w:sz w:val="24"/>
                <w:szCs w:val="24"/>
              </w:rPr>
              <w:t xml:space="preserve"> </w:t>
            </w:r>
            <w:r w:rsidRPr="00491D00">
              <w:rPr>
                <w:rFonts w:ascii="Times New Roman" w:hAnsi="Times New Roman" w:cs="Times New Roman"/>
                <w:color w:val="000000" w:themeColor="text1"/>
                <w:sz w:val="24"/>
                <w:szCs w:val="24"/>
              </w:rPr>
              <w:t>atskirai, atsižvelgdama į turimą programos „Erasmus+“ finansavimą ir užtikrindama vienodą identiškų ar panašių atvejų traktavimą.</w:t>
            </w:r>
          </w:p>
        </w:tc>
      </w:tr>
      <w:tr w:rsidR="00CE222D" w:rsidRPr="00506FEA" w14:paraId="37B9A434" w14:textId="77777777" w:rsidTr="00AB09A7">
        <w:tc>
          <w:tcPr>
            <w:tcW w:w="4809" w:type="dxa"/>
          </w:tcPr>
          <w:p w14:paraId="0EFC25EF" w14:textId="436242B7" w:rsidR="00CE222D" w:rsidRPr="00407B6A" w:rsidRDefault="00CE222D" w:rsidP="009B396B">
            <w:pPr>
              <w:rPr>
                <w:rFonts w:ascii="Times New Roman" w:hAnsi="Times New Roman" w:cs="Times New Roman"/>
                <w:sz w:val="24"/>
                <w:szCs w:val="24"/>
              </w:rPr>
            </w:pPr>
            <w:r w:rsidRPr="00407B6A">
              <w:rPr>
                <w:rFonts w:ascii="Times New Roman" w:hAnsi="Times New Roman" w:cs="Times New Roman"/>
                <w:sz w:val="24"/>
                <w:szCs w:val="24"/>
              </w:rPr>
              <w:t xml:space="preserve">Ar absolventai, kurių „Erasmus+“ praktika buvo atidėta dėl </w:t>
            </w:r>
            <w:r w:rsidRPr="00407B6A">
              <w:rPr>
                <w:rFonts w:ascii="Times New Roman" w:hAnsi="Times New Roman" w:cs="Times New Roman"/>
                <w:i/>
                <w:sz w:val="24"/>
                <w:szCs w:val="24"/>
              </w:rPr>
              <w:t>force majeure</w:t>
            </w:r>
            <w:r w:rsidRPr="00407B6A">
              <w:rPr>
                <w:rFonts w:ascii="Times New Roman" w:hAnsi="Times New Roman" w:cs="Times New Roman"/>
                <w:sz w:val="24"/>
                <w:szCs w:val="24"/>
              </w:rPr>
              <w:t>, turės galimybę atlikti ją praėjus 12 mėn. laikotarpiui nuo studijų baigimo?</w:t>
            </w:r>
          </w:p>
        </w:tc>
        <w:tc>
          <w:tcPr>
            <w:tcW w:w="4819" w:type="dxa"/>
          </w:tcPr>
          <w:p w14:paraId="7A480375" w14:textId="51E6DD23" w:rsidR="00CE222D" w:rsidRPr="00407B6A" w:rsidRDefault="00CE222D" w:rsidP="00D55F6C">
            <w:pPr>
              <w:tabs>
                <w:tab w:val="left" w:pos="318"/>
              </w:tabs>
              <w:spacing w:after="120"/>
              <w:jc w:val="both"/>
              <w:rPr>
                <w:rFonts w:ascii="Times New Roman" w:hAnsi="Times New Roman" w:cs="Times New Roman"/>
                <w:color w:val="000000" w:themeColor="text1"/>
                <w:sz w:val="24"/>
                <w:szCs w:val="24"/>
              </w:rPr>
            </w:pPr>
            <w:r w:rsidRPr="00407B6A">
              <w:rPr>
                <w:rFonts w:ascii="Times New Roman" w:hAnsi="Times New Roman" w:cs="Times New Roman"/>
                <w:color w:val="000000" w:themeColor="text1"/>
                <w:sz w:val="24"/>
                <w:szCs w:val="24"/>
              </w:rPr>
              <w:t xml:space="preserve">Atsižvelgiant į </w:t>
            </w:r>
            <w:r w:rsidRPr="00407B6A">
              <w:rPr>
                <w:rFonts w:ascii="Times New Roman" w:hAnsi="Times New Roman" w:cs="Times New Roman"/>
                <w:i/>
                <w:color w:val="000000" w:themeColor="text1"/>
                <w:sz w:val="24"/>
                <w:szCs w:val="24"/>
              </w:rPr>
              <w:t>force majeure</w:t>
            </w:r>
            <w:r w:rsidRPr="00407B6A">
              <w:rPr>
                <w:rFonts w:ascii="Times New Roman" w:hAnsi="Times New Roman" w:cs="Times New Roman"/>
                <w:color w:val="000000" w:themeColor="text1"/>
                <w:sz w:val="24"/>
                <w:szCs w:val="24"/>
              </w:rPr>
              <w:t xml:space="preserve"> aplinkybes</w:t>
            </w:r>
            <w:r w:rsidR="00D55F6C" w:rsidRPr="00407B6A">
              <w:rPr>
                <w:rFonts w:ascii="Times New Roman" w:hAnsi="Times New Roman" w:cs="Times New Roman"/>
                <w:color w:val="000000" w:themeColor="text1"/>
                <w:sz w:val="24"/>
                <w:szCs w:val="24"/>
              </w:rPr>
              <w:t>,</w:t>
            </w:r>
            <w:r w:rsidRPr="00407B6A">
              <w:rPr>
                <w:rFonts w:ascii="Times New Roman" w:hAnsi="Times New Roman" w:cs="Times New Roman"/>
                <w:color w:val="000000" w:themeColor="text1"/>
                <w:sz w:val="24"/>
                <w:szCs w:val="24"/>
              </w:rPr>
              <w:t xml:space="preserve"> išimties tvarka</w:t>
            </w:r>
            <w:r w:rsidR="00D55F6C" w:rsidRPr="00407B6A">
              <w:rPr>
                <w:rFonts w:ascii="Times New Roman" w:hAnsi="Times New Roman" w:cs="Times New Roman"/>
                <w:color w:val="000000" w:themeColor="text1"/>
                <w:sz w:val="24"/>
                <w:szCs w:val="24"/>
              </w:rPr>
              <w:t>, laikotarpis, per kurį absolventas gali atlikti praktiką, prailginamas 6 mėn., t. y. iki 18 mėn. po studijų baigimo.</w:t>
            </w:r>
          </w:p>
        </w:tc>
      </w:tr>
      <w:tr w:rsidR="009B396B" w:rsidRPr="00506FEA" w14:paraId="397E978F" w14:textId="77777777" w:rsidTr="00A501A0">
        <w:tc>
          <w:tcPr>
            <w:tcW w:w="4809" w:type="dxa"/>
          </w:tcPr>
          <w:p w14:paraId="763B25E4" w14:textId="0907BE85" w:rsidR="009B396B" w:rsidRPr="00506FEA" w:rsidRDefault="009B396B" w:rsidP="009B396B">
            <w:pPr>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Šiuo metu turime kelis studentus</w:t>
            </w:r>
            <w:r w:rsidR="00071D64">
              <w:rPr>
                <w:rFonts w:ascii="Times New Roman" w:hAnsi="Times New Roman" w:cs="Times New Roman"/>
                <w:color w:val="000000" w:themeColor="text1"/>
                <w:sz w:val="24"/>
                <w:szCs w:val="24"/>
              </w:rPr>
              <w:t>,</w:t>
            </w:r>
            <w:r w:rsidRPr="00506FEA">
              <w:rPr>
                <w:rFonts w:ascii="Times New Roman" w:hAnsi="Times New Roman" w:cs="Times New Roman"/>
                <w:color w:val="000000" w:themeColor="text1"/>
                <w:sz w:val="24"/>
                <w:szCs w:val="24"/>
              </w:rPr>
              <w:t xml:space="preserve"> studijuojančius Italijoje, kurie kaip ir neplanuoja nutraukti savo „Erasmus+“ mobi</w:t>
            </w:r>
            <w:r w:rsidR="00071D64">
              <w:rPr>
                <w:rFonts w:ascii="Times New Roman" w:hAnsi="Times New Roman" w:cs="Times New Roman"/>
                <w:color w:val="000000" w:themeColor="text1"/>
                <w:sz w:val="24"/>
                <w:szCs w:val="24"/>
              </w:rPr>
              <w:t>lumo bei grįžti atgal į Lietuvą.</w:t>
            </w:r>
            <w:r w:rsidRPr="00506FEA">
              <w:rPr>
                <w:rFonts w:ascii="Times New Roman" w:hAnsi="Times New Roman" w:cs="Times New Roman"/>
                <w:color w:val="000000" w:themeColor="text1"/>
                <w:sz w:val="24"/>
                <w:szCs w:val="24"/>
              </w:rPr>
              <w:t xml:space="preserve"> Ar turėtumėme nutraukti visų studentų mobilumus</w:t>
            </w:r>
            <w:r w:rsidR="00071D64">
              <w:rPr>
                <w:rFonts w:ascii="Times New Roman" w:hAnsi="Times New Roman" w:cs="Times New Roman"/>
                <w:color w:val="000000" w:themeColor="text1"/>
                <w:sz w:val="24"/>
                <w:szCs w:val="24"/>
              </w:rPr>
              <w:t>,</w:t>
            </w:r>
            <w:r w:rsidRPr="00506FEA">
              <w:rPr>
                <w:rFonts w:ascii="Times New Roman" w:hAnsi="Times New Roman" w:cs="Times New Roman"/>
                <w:color w:val="000000" w:themeColor="text1"/>
                <w:sz w:val="24"/>
                <w:szCs w:val="24"/>
              </w:rPr>
              <w:t xml:space="preserve"> ar visgi leisti studentams priimti sprendimą patiems?</w:t>
            </w:r>
          </w:p>
          <w:p w14:paraId="56298447" w14:textId="77777777" w:rsidR="009B396B" w:rsidRPr="00506FEA" w:rsidRDefault="009B396B" w:rsidP="009B396B">
            <w:pPr>
              <w:rPr>
                <w:rFonts w:ascii="Times New Roman" w:hAnsi="Times New Roman" w:cs="Times New Roman"/>
                <w:color w:val="000000" w:themeColor="text1"/>
                <w:sz w:val="24"/>
                <w:szCs w:val="24"/>
              </w:rPr>
            </w:pPr>
          </w:p>
        </w:tc>
        <w:tc>
          <w:tcPr>
            <w:tcW w:w="4819" w:type="dxa"/>
          </w:tcPr>
          <w:p w14:paraId="11C479BA" w14:textId="6FFFCF7B" w:rsidR="009B396B" w:rsidRPr="00506FEA" w:rsidRDefault="009B396B" w:rsidP="00071D64">
            <w:pPr>
              <w:jc w:val="both"/>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Visais atvejais sprendimą dėl rekomendacijų mobilumo dalyviui priima projektą įgyvendinančios institucijos vadovas. Pilnametis mobilumo dalyvis</w:t>
            </w:r>
            <w:r w:rsidR="00071D64">
              <w:rPr>
                <w:rFonts w:ascii="Times New Roman" w:hAnsi="Times New Roman" w:cs="Times New Roman"/>
                <w:color w:val="000000" w:themeColor="text1"/>
                <w:sz w:val="24"/>
                <w:szCs w:val="24"/>
              </w:rPr>
              <w:t>,</w:t>
            </w:r>
            <w:r w:rsidRPr="00506FEA">
              <w:rPr>
                <w:rFonts w:ascii="Times New Roman" w:hAnsi="Times New Roman" w:cs="Times New Roman"/>
                <w:color w:val="000000" w:themeColor="text1"/>
                <w:sz w:val="24"/>
                <w:szCs w:val="24"/>
              </w:rPr>
              <w:t xml:space="preserve"> atsižvelgdamas į siunčiančios, priimančios institucijų bei Lietuvos ir atitinkamos šalies atsakingų nacionalinių institucijų rekomendacijas dėl užsikrėtimo prevencijos priemonių, </w:t>
            </w:r>
            <w:r w:rsidR="00071D64">
              <w:rPr>
                <w:rFonts w:ascii="Times New Roman" w:hAnsi="Times New Roman" w:cs="Times New Roman"/>
                <w:color w:val="000000" w:themeColor="text1"/>
                <w:sz w:val="24"/>
                <w:szCs w:val="24"/>
              </w:rPr>
              <w:t>p</w:t>
            </w:r>
            <w:r w:rsidRPr="00506FEA">
              <w:rPr>
                <w:rFonts w:ascii="Times New Roman" w:hAnsi="Times New Roman" w:cs="Times New Roman"/>
                <w:color w:val="000000" w:themeColor="text1"/>
                <w:sz w:val="24"/>
                <w:szCs w:val="24"/>
              </w:rPr>
              <w:t xml:space="preserve">riima  asmeninį sprendimą dėl mobilumo tęsimo ar </w:t>
            </w:r>
            <w:r w:rsidRPr="00506FEA">
              <w:rPr>
                <w:rFonts w:ascii="Times New Roman" w:hAnsi="Times New Roman" w:cs="Times New Roman"/>
                <w:color w:val="000000" w:themeColor="text1"/>
                <w:sz w:val="24"/>
                <w:szCs w:val="24"/>
              </w:rPr>
              <w:lastRenderedPageBreak/>
              <w:t xml:space="preserve">nutraukimo </w:t>
            </w:r>
            <w:r w:rsidRPr="00506FEA">
              <w:rPr>
                <w:rFonts w:ascii="Times New Roman" w:hAnsi="Times New Roman" w:cs="Times New Roman"/>
                <w:b/>
                <w:color w:val="000000" w:themeColor="text1"/>
                <w:sz w:val="24"/>
                <w:szCs w:val="24"/>
              </w:rPr>
              <w:t>apie tai raštu</w:t>
            </w:r>
            <w:r w:rsidRPr="00506FEA">
              <w:rPr>
                <w:rFonts w:ascii="Times New Roman" w:hAnsi="Times New Roman" w:cs="Times New Roman"/>
                <w:color w:val="000000" w:themeColor="text1"/>
                <w:sz w:val="24"/>
                <w:szCs w:val="24"/>
              </w:rPr>
              <w:t xml:space="preserve"> informuodamas siunčiančiąją instituciją. </w:t>
            </w:r>
          </w:p>
        </w:tc>
      </w:tr>
      <w:tr w:rsidR="009B396B" w:rsidRPr="00506FEA" w14:paraId="2C881DCF" w14:textId="77777777" w:rsidTr="00437E72">
        <w:tc>
          <w:tcPr>
            <w:tcW w:w="4809" w:type="dxa"/>
          </w:tcPr>
          <w:p w14:paraId="48890B43" w14:textId="77777777" w:rsidR="009B396B" w:rsidRPr="00506FEA" w:rsidRDefault="009B396B" w:rsidP="009B396B">
            <w:pPr>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lastRenderedPageBreak/>
              <w:t>Ar nutraukus mobilumą reikės sugrąžinti stipendijos dalį už neišbūtą laikotarpį?</w:t>
            </w:r>
          </w:p>
        </w:tc>
        <w:tc>
          <w:tcPr>
            <w:tcW w:w="4819" w:type="dxa"/>
          </w:tcPr>
          <w:p w14:paraId="2492D16F" w14:textId="77777777" w:rsidR="009B396B" w:rsidRDefault="009B396B" w:rsidP="009B396B">
            <w:pPr>
              <w:jc w:val="both"/>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Nutraukus mobilumo laikotarpį turėtų būti perskaičiuotas stipendijos dydis.</w:t>
            </w:r>
            <w:r w:rsidR="004F3B8E">
              <w:rPr>
                <w:rFonts w:ascii="Times New Roman" w:hAnsi="Times New Roman" w:cs="Times New Roman"/>
                <w:color w:val="000000" w:themeColor="text1"/>
                <w:sz w:val="24"/>
                <w:szCs w:val="24"/>
              </w:rPr>
              <w:t xml:space="preserve"> Už neišbūtą laikotarpį stipendijos dalis turės būti grąžinta siunčiančiajai institucijai.</w:t>
            </w:r>
            <w:r w:rsidRPr="00506FEA">
              <w:rPr>
                <w:rFonts w:ascii="Times New Roman" w:hAnsi="Times New Roman" w:cs="Times New Roman"/>
                <w:color w:val="000000" w:themeColor="text1"/>
                <w:sz w:val="24"/>
                <w:szCs w:val="24"/>
              </w:rPr>
              <w:t xml:space="preserve"> Taikant </w:t>
            </w:r>
            <w:r w:rsidRPr="00506FEA">
              <w:rPr>
                <w:rFonts w:ascii="Times New Roman" w:hAnsi="Times New Roman" w:cs="Times New Roman"/>
                <w:i/>
                <w:color w:val="000000" w:themeColor="text1"/>
                <w:sz w:val="24"/>
                <w:szCs w:val="24"/>
              </w:rPr>
              <w:t>force majeure</w:t>
            </w:r>
            <w:r w:rsidRPr="00506FEA">
              <w:rPr>
                <w:rFonts w:ascii="Times New Roman" w:hAnsi="Times New Roman" w:cs="Times New Roman"/>
                <w:color w:val="000000" w:themeColor="text1"/>
                <w:sz w:val="24"/>
                <w:szCs w:val="24"/>
              </w:rPr>
              <w:t xml:space="preserve"> atvejį mobilumo dalyviams gali būti kompensuojami patirti nuostoliai (pvz.</w:t>
            </w:r>
            <w:r w:rsidR="00071D64">
              <w:rPr>
                <w:rFonts w:ascii="Times New Roman" w:hAnsi="Times New Roman" w:cs="Times New Roman"/>
                <w:color w:val="000000" w:themeColor="text1"/>
                <w:sz w:val="24"/>
                <w:szCs w:val="24"/>
              </w:rPr>
              <w:t>,</w:t>
            </w:r>
            <w:r w:rsidR="00EA3E19">
              <w:rPr>
                <w:rFonts w:ascii="Times New Roman" w:hAnsi="Times New Roman" w:cs="Times New Roman"/>
                <w:color w:val="000000" w:themeColor="text1"/>
                <w:sz w:val="24"/>
                <w:szCs w:val="24"/>
              </w:rPr>
              <w:t xml:space="preserve"> papildomos</w:t>
            </w:r>
            <w:r w:rsidRPr="00506FEA">
              <w:rPr>
                <w:rFonts w:ascii="Times New Roman" w:hAnsi="Times New Roman" w:cs="Times New Roman"/>
                <w:color w:val="000000" w:themeColor="text1"/>
                <w:sz w:val="24"/>
                <w:szCs w:val="24"/>
              </w:rPr>
              <w:t xml:space="preserve"> kelionės atgal į Lietuvą išlaidos, negrąžintas užstatas už gyvenamosios vietos nuomą mobilumo laikotarpio metu, pateikus dokumentus  ar raštiškus įrodymus, kad buvo kreiptasi dėl patirtų išlaidų susigrąžinimo ir kt.). Atkreipiame dėmesį, kad gali būti kompensuojamos tik </w:t>
            </w:r>
            <w:r w:rsidRPr="00506FEA">
              <w:rPr>
                <w:rFonts w:ascii="Times New Roman" w:hAnsi="Times New Roman" w:cs="Times New Roman"/>
                <w:b/>
                <w:color w:val="000000" w:themeColor="text1"/>
                <w:sz w:val="24"/>
                <w:szCs w:val="24"/>
              </w:rPr>
              <w:t>faktinės</w:t>
            </w:r>
            <w:r w:rsidRPr="00506FEA">
              <w:rPr>
                <w:rFonts w:ascii="Times New Roman" w:hAnsi="Times New Roman" w:cs="Times New Roman"/>
                <w:color w:val="000000" w:themeColor="text1"/>
                <w:sz w:val="24"/>
                <w:szCs w:val="24"/>
              </w:rPr>
              <w:t xml:space="preserve"> mobilumo dalyvio patirtos išlaidos, kurios neviršija mobilumui skirtos dotacijos, numatytos finansinėje sutartyje su dalyviu.</w:t>
            </w:r>
          </w:p>
          <w:p w14:paraId="784A04D6" w14:textId="77777777" w:rsidR="00491D00" w:rsidRDefault="00491D00" w:rsidP="009B396B">
            <w:pPr>
              <w:jc w:val="both"/>
              <w:rPr>
                <w:rFonts w:ascii="Times New Roman" w:hAnsi="Times New Roman" w:cs="Times New Roman"/>
                <w:color w:val="000000" w:themeColor="text1"/>
                <w:sz w:val="24"/>
                <w:szCs w:val="24"/>
              </w:rPr>
            </w:pPr>
          </w:p>
          <w:p w14:paraId="4C81D9AA" w14:textId="747F8E55" w:rsidR="00491D00" w:rsidRPr="00506FEA" w:rsidRDefault="00BD5F0D" w:rsidP="009B396B">
            <w:pPr>
              <w:jc w:val="both"/>
              <w:rPr>
                <w:rFonts w:ascii="Times New Roman" w:hAnsi="Times New Roman" w:cs="Times New Roman"/>
                <w:color w:val="000000" w:themeColor="text1"/>
                <w:sz w:val="24"/>
                <w:szCs w:val="24"/>
              </w:rPr>
            </w:pPr>
            <w:r w:rsidRPr="00BD5F0D">
              <w:rPr>
                <w:rFonts w:ascii="Times New Roman" w:hAnsi="Times New Roman" w:cs="Times New Roman"/>
                <w:b/>
                <w:color w:val="000000" w:themeColor="text1"/>
                <w:sz w:val="24"/>
                <w:szCs w:val="24"/>
              </w:rPr>
              <w:t xml:space="preserve">Dėmesio! </w:t>
            </w:r>
            <w:r w:rsidRPr="00BD5F0D">
              <w:rPr>
                <w:rFonts w:ascii="Times New Roman" w:hAnsi="Times New Roman" w:cs="Times New Roman"/>
                <w:color w:val="000000" w:themeColor="text1"/>
                <w:sz w:val="24"/>
                <w:szCs w:val="24"/>
              </w:rPr>
              <w:t>Kiekvieną atvejį siunčianti institucija nagrinėja atskirai, atsižvelgdama į turimą programos „Erasmus+“ finansavimą ir užtikrindama vienodą identiškų ar panašių atvejų traktavimą.</w:t>
            </w:r>
          </w:p>
        </w:tc>
      </w:tr>
      <w:tr w:rsidR="009B396B" w:rsidRPr="00506FEA" w14:paraId="20F24B67" w14:textId="77777777" w:rsidTr="000728BD">
        <w:tc>
          <w:tcPr>
            <w:tcW w:w="4809" w:type="dxa"/>
          </w:tcPr>
          <w:p w14:paraId="7CEC59E0" w14:textId="77777777" w:rsidR="009B396B" w:rsidRPr="00506FEA" w:rsidRDefault="009B396B" w:rsidP="009B396B">
            <w:pPr>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Kokios yra rekomendacijos nuostolių prevencijai</w:t>
            </w:r>
          </w:p>
        </w:tc>
        <w:tc>
          <w:tcPr>
            <w:tcW w:w="4819" w:type="dxa"/>
          </w:tcPr>
          <w:p w14:paraId="68F87D32" w14:textId="77777777" w:rsidR="00EA3E19" w:rsidRDefault="009B396B" w:rsidP="009B396B">
            <w:pPr>
              <w:pStyle w:val="ListParagraph"/>
              <w:numPr>
                <w:ilvl w:val="0"/>
                <w:numId w:val="6"/>
              </w:numPr>
              <w:tabs>
                <w:tab w:val="left" w:pos="323"/>
              </w:tabs>
              <w:ind w:left="323" w:hanging="288"/>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 xml:space="preserve">Su partnerinėmis institucijomis aptarkite ir </w:t>
            </w:r>
          </w:p>
          <w:p w14:paraId="1240D1C0" w14:textId="1FE7C3A1" w:rsidR="009B396B" w:rsidRPr="006E4CEB" w:rsidRDefault="009B396B" w:rsidP="006E4CEB">
            <w:pPr>
              <w:tabs>
                <w:tab w:val="left" w:pos="323"/>
              </w:tabs>
              <w:ind w:left="35"/>
              <w:rPr>
                <w:rFonts w:ascii="Times New Roman" w:hAnsi="Times New Roman" w:cs="Times New Roman"/>
                <w:color w:val="000000" w:themeColor="text1"/>
                <w:sz w:val="24"/>
                <w:szCs w:val="24"/>
              </w:rPr>
            </w:pPr>
            <w:r w:rsidRPr="006E4CEB">
              <w:rPr>
                <w:rFonts w:ascii="Times New Roman" w:hAnsi="Times New Roman" w:cs="Times New Roman"/>
                <w:color w:val="000000" w:themeColor="text1"/>
                <w:sz w:val="24"/>
                <w:szCs w:val="24"/>
              </w:rPr>
              <w:t>susitarkite dėl vėlesnio mobilumo galimybių.</w:t>
            </w:r>
          </w:p>
          <w:p w14:paraId="7BA0F6BF" w14:textId="77777777" w:rsidR="00EA3E19" w:rsidRDefault="009B396B" w:rsidP="009B396B">
            <w:pPr>
              <w:pStyle w:val="ListParagraph"/>
              <w:numPr>
                <w:ilvl w:val="0"/>
                <w:numId w:val="6"/>
              </w:numPr>
              <w:tabs>
                <w:tab w:val="left" w:pos="323"/>
              </w:tabs>
              <w:ind w:left="323" w:hanging="288"/>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 xml:space="preserve">Jei buvo patirtos išlaidos, bet mobilumas </w:t>
            </w:r>
          </w:p>
          <w:p w14:paraId="5BBB7177" w14:textId="6926F5CB" w:rsidR="009B396B" w:rsidRPr="006E4CEB" w:rsidRDefault="009B396B" w:rsidP="006E4CEB">
            <w:pPr>
              <w:tabs>
                <w:tab w:val="left" w:pos="323"/>
              </w:tabs>
              <w:ind w:left="35"/>
              <w:rPr>
                <w:rFonts w:ascii="Times New Roman" w:hAnsi="Times New Roman" w:cs="Times New Roman"/>
                <w:color w:val="000000" w:themeColor="text1"/>
                <w:sz w:val="24"/>
                <w:szCs w:val="24"/>
              </w:rPr>
            </w:pPr>
            <w:r w:rsidRPr="006E4CEB">
              <w:rPr>
                <w:rFonts w:ascii="Times New Roman" w:hAnsi="Times New Roman" w:cs="Times New Roman"/>
                <w:color w:val="000000" w:themeColor="text1"/>
                <w:sz w:val="24"/>
                <w:szCs w:val="24"/>
              </w:rPr>
              <w:t>neįvyko, išsaugokite šį sprendimą pagrindžiančius dokumentus (pvz., partnerinės institucijos oficialų raštą dėl atsisakymo organizuoti susitikimą ar kursus, švietimo institucijos uždarymo dėl karantino ir pan.).</w:t>
            </w:r>
          </w:p>
          <w:p w14:paraId="7A17AED5" w14:textId="77777777" w:rsidR="00EA3E19" w:rsidRDefault="009B396B" w:rsidP="009B396B">
            <w:pPr>
              <w:pStyle w:val="ListParagraph"/>
              <w:numPr>
                <w:ilvl w:val="0"/>
                <w:numId w:val="6"/>
              </w:numPr>
              <w:tabs>
                <w:tab w:val="left" w:pos="323"/>
              </w:tabs>
              <w:ind w:left="323" w:hanging="288"/>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Atlikite visus reikalingus veiksmus, siekiant</w:t>
            </w:r>
          </w:p>
          <w:p w14:paraId="40FCBD58" w14:textId="799B13F1" w:rsidR="009B396B" w:rsidRPr="006E4CEB" w:rsidRDefault="009B396B" w:rsidP="006E4CEB">
            <w:pPr>
              <w:tabs>
                <w:tab w:val="left" w:pos="323"/>
              </w:tabs>
              <w:ind w:left="35"/>
              <w:rPr>
                <w:rFonts w:ascii="Times New Roman" w:hAnsi="Times New Roman" w:cs="Times New Roman"/>
                <w:color w:val="000000" w:themeColor="text1"/>
                <w:sz w:val="24"/>
                <w:szCs w:val="24"/>
              </w:rPr>
            </w:pPr>
            <w:r w:rsidRPr="006E4CEB">
              <w:rPr>
                <w:rFonts w:ascii="Times New Roman" w:hAnsi="Times New Roman" w:cs="Times New Roman"/>
                <w:color w:val="000000" w:themeColor="text1"/>
                <w:sz w:val="24"/>
                <w:szCs w:val="24"/>
              </w:rPr>
              <w:t xml:space="preserve"> susigrąžinti patirtus nuostolius už neįvykusius mobilumus, ir tai dokumentuokite (pvz., kreipimasis raštu į kelionių agentūrą ar viešbutį dėl lėšų grąžinimo už nesuteiktas paslaugas, prašymas grąžinti užstatą už nuomojamą būstą ir pan.).</w:t>
            </w:r>
          </w:p>
          <w:p w14:paraId="13F1DDF7" w14:textId="77777777" w:rsidR="00EA3E19" w:rsidRDefault="009B396B" w:rsidP="009B396B">
            <w:pPr>
              <w:pStyle w:val="ListParagraph"/>
              <w:numPr>
                <w:ilvl w:val="0"/>
                <w:numId w:val="6"/>
              </w:numPr>
              <w:tabs>
                <w:tab w:val="left" w:pos="323"/>
              </w:tabs>
              <w:ind w:left="323" w:hanging="288"/>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 xml:space="preserve">Laiku informuokite mobilumo dalyvius apie </w:t>
            </w:r>
          </w:p>
          <w:p w14:paraId="71388925" w14:textId="40DD13B0" w:rsidR="009B396B" w:rsidRPr="006E4CEB" w:rsidRDefault="009B396B" w:rsidP="006E4CEB">
            <w:pPr>
              <w:tabs>
                <w:tab w:val="left" w:pos="323"/>
              </w:tabs>
              <w:ind w:left="35"/>
              <w:rPr>
                <w:rFonts w:ascii="Times New Roman" w:hAnsi="Times New Roman" w:cs="Times New Roman"/>
                <w:color w:val="000000" w:themeColor="text1"/>
                <w:sz w:val="24"/>
                <w:szCs w:val="24"/>
              </w:rPr>
            </w:pPr>
            <w:r w:rsidRPr="006E4CEB">
              <w:rPr>
                <w:rFonts w:ascii="Times New Roman" w:hAnsi="Times New Roman" w:cs="Times New Roman"/>
                <w:color w:val="000000" w:themeColor="text1"/>
                <w:sz w:val="24"/>
                <w:szCs w:val="24"/>
              </w:rPr>
              <w:t>institucijos sprendimus, susijusius su mobilumo organizavimo pokyčiais.</w:t>
            </w:r>
          </w:p>
        </w:tc>
      </w:tr>
      <w:tr w:rsidR="009B396B" w:rsidRPr="00506FEA" w14:paraId="235C738F" w14:textId="77777777" w:rsidTr="000728BD">
        <w:tc>
          <w:tcPr>
            <w:tcW w:w="4809" w:type="dxa"/>
          </w:tcPr>
          <w:p w14:paraId="0A4364BF" w14:textId="77777777" w:rsidR="009B396B" w:rsidRPr="00506FEA" w:rsidRDefault="009B396B" w:rsidP="009B396B">
            <w:pPr>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Aktualios nuorodos</w:t>
            </w:r>
          </w:p>
        </w:tc>
        <w:tc>
          <w:tcPr>
            <w:tcW w:w="4819" w:type="dxa"/>
          </w:tcPr>
          <w:p w14:paraId="567C9AF3" w14:textId="77777777" w:rsidR="009B396B" w:rsidRPr="00506FEA" w:rsidRDefault="009B396B" w:rsidP="009B396B">
            <w:pPr>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Aktualią informaciją dėl viruso plitimo galima rasti:</w:t>
            </w:r>
          </w:p>
          <w:p w14:paraId="05513286" w14:textId="77777777" w:rsidR="009B396B" w:rsidRPr="00506FEA" w:rsidRDefault="009B396B" w:rsidP="009B396B">
            <w:pPr>
              <w:pStyle w:val="ListParagraph"/>
              <w:numPr>
                <w:ilvl w:val="0"/>
                <w:numId w:val="7"/>
              </w:numPr>
              <w:ind w:left="238" w:hanging="238"/>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URM konsulinės informacijos puslapyje</w:t>
            </w:r>
            <w:r w:rsidRPr="00506FEA">
              <w:rPr>
                <w:rFonts w:ascii="Times New Roman" w:hAnsi="Times New Roman" w:cs="Times New Roman"/>
                <w:sz w:val="24"/>
                <w:szCs w:val="24"/>
              </w:rPr>
              <w:t xml:space="preserve"> </w:t>
            </w:r>
            <w:hyperlink r:id="rId8" w:history="1">
              <w:r w:rsidRPr="00506FEA">
                <w:rPr>
                  <w:rStyle w:val="Hyperlink"/>
                  <w:rFonts w:ascii="Times New Roman" w:hAnsi="Times New Roman" w:cs="Times New Roman"/>
                  <w:sz w:val="24"/>
                  <w:szCs w:val="24"/>
                </w:rPr>
                <w:t>https://keliauk.urm.lt/</w:t>
              </w:r>
            </w:hyperlink>
            <w:r w:rsidRPr="00506FEA">
              <w:rPr>
                <w:rFonts w:ascii="Times New Roman" w:hAnsi="Times New Roman" w:cs="Times New Roman"/>
                <w:color w:val="000000" w:themeColor="text1"/>
                <w:sz w:val="24"/>
                <w:szCs w:val="24"/>
              </w:rPr>
              <w:t xml:space="preserve"> </w:t>
            </w:r>
          </w:p>
          <w:p w14:paraId="170BF4C8" w14:textId="77777777" w:rsidR="009B396B" w:rsidRPr="00506FEA" w:rsidRDefault="009B396B" w:rsidP="009B396B">
            <w:pPr>
              <w:pStyle w:val="ListParagraph"/>
              <w:numPr>
                <w:ilvl w:val="0"/>
                <w:numId w:val="7"/>
              </w:numPr>
              <w:ind w:left="238" w:hanging="238"/>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 xml:space="preserve">Europos ligų prevencijos ir kontrolės centro interneto puslapyje </w:t>
            </w:r>
            <w:hyperlink r:id="rId9" w:history="1">
              <w:r w:rsidRPr="00506FEA">
                <w:rPr>
                  <w:rStyle w:val="Hyperlink"/>
                  <w:rFonts w:ascii="Times New Roman" w:hAnsi="Times New Roman" w:cs="Times New Roman"/>
                  <w:sz w:val="24"/>
                  <w:szCs w:val="24"/>
                </w:rPr>
                <w:t>https://www.ecdc.europa.eu/en/geographical-distribution-2019-ncov-cases</w:t>
              </w:r>
            </w:hyperlink>
          </w:p>
          <w:p w14:paraId="0A46C308" w14:textId="77777777" w:rsidR="009B396B" w:rsidRPr="00506FEA" w:rsidRDefault="009B396B" w:rsidP="009B396B">
            <w:pPr>
              <w:pStyle w:val="ListParagraph"/>
              <w:numPr>
                <w:ilvl w:val="0"/>
                <w:numId w:val="7"/>
              </w:numPr>
              <w:ind w:left="238" w:hanging="238"/>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 xml:space="preserve">Europos Komisijos informacija interneto </w:t>
            </w:r>
          </w:p>
          <w:p w14:paraId="5675B828" w14:textId="77777777" w:rsidR="00834E75" w:rsidRDefault="009B396B" w:rsidP="00834E75">
            <w:pPr>
              <w:pStyle w:val="ListParagraph"/>
              <w:ind w:left="238"/>
              <w:rPr>
                <w:rStyle w:val="Hyperlink"/>
                <w:rFonts w:ascii="Times New Roman" w:hAnsi="Times New Roman" w:cs="Times New Roman"/>
                <w:sz w:val="24"/>
                <w:szCs w:val="24"/>
              </w:rPr>
            </w:pPr>
            <w:r w:rsidRPr="00506FEA">
              <w:rPr>
                <w:rFonts w:ascii="Times New Roman" w:hAnsi="Times New Roman" w:cs="Times New Roman"/>
                <w:color w:val="000000" w:themeColor="text1"/>
                <w:sz w:val="24"/>
                <w:szCs w:val="24"/>
              </w:rPr>
              <w:t xml:space="preserve">puslapyje </w:t>
            </w:r>
            <w:hyperlink r:id="rId10" w:history="1">
              <w:r w:rsidR="00834E75" w:rsidRPr="009B32A5">
                <w:rPr>
                  <w:rStyle w:val="Hyperlink"/>
                  <w:rFonts w:ascii="Times New Roman" w:hAnsi="Times New Roman" w:cs="Times New Roman"/>
                  <w:sz w:val="24"/>
                  <w:szCs w:val="24"/>
                </w:rPr>
                <w:t>https://ec.europa.eu/health/coronavirus_en</w:t>
              </w:r>
            </w:hyperlink>
          </w:p>
          <w:p w14:paraId="28E9D0A0" w14:textId="310C5CD8" w:rsidR="00834E75" w:rsidRDefault="00834E75" w:rsidP="00834E75">
            <w:pPr>
              <w:pStyle w:val="ListParagraph"/>
              <w:ind w:left="238"/>
              <w:rPr>
                <w:rFonts w:ascii="Times New Roman" w:hAnsi="Times New Roman" w:cs="Times New Roman"/>
                <w:color w:val="000000" w:themeColor="text1"/>
                <w:sz w:val="24"/>
                <w:szCs w:val="24"/>
              </w:rPr>
            </w:pPr>
            <w:r>
              <w:rPr>
                <w:rStyle w:val="Hyperlink"/>
                <w:rFonts w:ascii="Times New Roman" w:hAnsi="Times New Roman" w:cs="Times New Roman"/>
                <w:sz w:val="24"/>
                <w:szCs w:val="24"/>
              </w:rPr>
              <w:t xml:space="preserve">ir </w:t>
            </w:r>
            <w:r w:rsidRPr="00834E75">
              <w:rPr>
                <w:rStyle w:val="Hyperlink"/>
                <w:rFonts w:ascii="Times New Roman" w:hAnsi="Times New Roman" w:cs="Times New Roman"/>
                <w:sz w:val="24"/>
                <w:szCs w:val="24"/>
              </w:rPr>
              <w:t>https://ec.europa.eu/programmes/erasmus-plus/news/corona-virus-consequences-erasmus-and-european-solidarity-corps-mobility-activities_en</w:t>
            </w:r>
          </w:p>
          <w:p w14:paraId="4775B074" w14:textId="6572A09A" w:rsidR="009B396B" w:rsidRPr="00834E75" w:rsidRDefault="005423DD" w:rsidP="00C5069E">
            <w:pPr>
              <w:pStyle w:val="ListParagraph"/>
              <w:numPr>
                <w:ilvl w:val="0"/>
                <w:numId w:val="7"/>
              </w:numPr>
              <w:ind w:left="238" w:hanging="2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Programos „Erasmus+“ </w:t>
            </w:r>
            <w:r w:rsidR="009B396B" w:rsidRPr="00834E75">
              <w:rPr>
                <w:rFonts w:ascii="Times New Roman" w:hAnsi="Times New Roman" w:cs="Times New Roman"/>
                <w:color w:val="000000" w:themeColor="text1"/>
                <w:sz w:val="24"/>
                <w:szCs w:val="24"/>
              </w:rPr>
              <w:t xml:space="preserve"> </w:t>
            </w:r>
          </w:p>
          <w:p w14:paraId="1E6BA9C4" w14:textId="677E30C1" w:rsidR="009B396B" w:rsidRPr="00506FEA" w:rsidRDefault="009B396B" w:rsidP="00122673">
            <w:pPr>
              <w:pStyle w:val="ListParagraph"/>
              <w:ind w:left="238"/>
              <w:rPr>
                <w:rFonts w:ascii="Times New Roman" w:hAnsi="Times New Roman" w:cs="Times New Roman"/>
                <w:color w:val="000000" w:themeColor="text1"/>
                <w:sz w:val="24"/>
                <w:szCs w:val="24"/>
              </w:rPr>
            </w:pPr>
            <w:r w:rsidRPr="00506FEA">
              <w:rPr>
                <w:rFonts w:ascii="Times New Roman" w:hAnsi="Times New Roman" w:cs="Times New Roman"/>
                <w:color w:val="000000" w:themeColor="text1"/>
                <w:sz w:val="24"/>
                <w:szCs w:val="24"/>
              </w:rPr>
              <w:t xml:space="preserve">interneto puslapyje </w:t>
            </w:r>
            <w:hyperlink r:id="rId11" w:history="1">
              <w:r w:rsidRPr="00506FEA">
                <w:rPr>
                  <w:rStyle w:val="Hyperlink"/>
                  <w:rFonts w:ascii="Times New Roman" w:hAnsi="Times New Roman" w:cs="Times New Roman"/>
                  <w:sz w:val="24"/>
                  <w:szCs w:val="24"/>
                </w:rPr>
                <w:t>https://erasmus-plius.lt/naujienos/svietimas/informacija-erasmus-programos-dalyviams-del-koronaviruso/</w:t>
              </w:r>
            </w:hyperlink>
          </w:p>
        </w:tc>
      </w:tr>
    </w:tbl>
    <w:p w14:paraId="2CCA06FF" w14:textId="77777777" w:rsidR="00D329ED" w:rsidRPr="00506FEA" w:rsidRDefault="00D329ED" w:rsidP="00A348E2">
      <w:pPr>
        <w:spacing w:line="240" w:lineRule="auto"/>
        <w:rPr>
          <w:rFonts w:ascii="Times New Roman" w:hAnsi="Times New Roman" w:cs="Times New Roman"/>
          <w:color w:val="000000" w:themeColor="text1"/>
          <w:sz w:val="24"/>
          <w:szCs w:val="24"/>
        </w:rPr>
      </w:pPr>
    </w:p>
    <w:sectPr w:rsidR="00D329ED" w:rsidRPr="00506FE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7213" w14:textId="77777777" w:rsidR="006E0735" w:rsidRDefault="006E0735" w:rsidP="00407B6A">
      <w:pPr>
        <w:spacing w:after="0" w:line="240" w:lineRule="auto"/>
      </w:pPr>
      <w:r>
        <w:separator/>
      </w:r>
    </w:p>
  </w:endnote>
  <w:endnote w:type="continuationSeparator" w:id="0">
    <w:p w14:paraId="2CCF164F" w14:textId="77777777" w:rsidR="006E0735" w:rsidRDefault="006E0735" w:rsidP="0040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ontserrat">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82161" w14:textId="77777777" w:rsidR="006E0735" w:rsidRDefault="006E0735" w:rsidP="00407B6A">
      <w:pPr>
        <w:spacing w:after="0" w:line="240" w:lineRule="auto"/>
      </w:pPr>
      <w:r>
        <w:separator/>
      </w:r>
    </w:p>
  </w:footnote>
  <w:footnote w:type="continuationSeparator" w:id="0">
    <w:p w14:paraId="7B59B724" w14:textId="77777777" w:rsidR="006E0735" w:rsidRDefault="006E0735" w:rsidP="00407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1850"/>
    <w:multiLevelType w:val="hybridMultilevel"/>
    <w:tmpl w:val="B572625E"/>
    <w:lvl w:ilvl="0" w:tplc="04270001">
      <w:start w:val="1"/>
      <w:numFmt w:val="bullet"/>
      <w:lvlText w:val=""/>
      <w:lvlJc w:val="left"/>
      <w:pPr>
        <w:ind w:left="0" w:hanging="360"/>
      </w:pPr>
      <w:rPr>
        <w:rFonts w:ascii="Symbol" w:hAnsi="Symbol" w:hint="default"/>
      </w:rPr>
    </w:lvl>
    <w:lvl w:ilvl="1" w:tplc="04270003">
      <w:start w:val="1"/>
      <w:numFmt w:val="bullet"/>
      <w:lvlText w:val="o"/>
      <w:lvlJc w:val="left"/>
      <w:pPr>
        <w:ind w:left="720" w:hanging="360"/>
      </w:pPr>
      <w:rPr>
        <w:rFonts w:ascii="Courier New" w:hAnsi="Courier New" w:cs="Courier New" w:hint="default"/>
      </w:rPr>
    </w:lvl>
    <w:lvl w:ilvl="2" w:tplc="04270005">
      <w:start w:val="1"/>
      <w:numFmt w:val="bullet"/>
      <w:lvlText w:val=""/>
      <w:lvlJc w:val="left"/>
      <w:pPr>
        <w:ind w:left="1440" w:hanging="360"/>
      </w:pPr>
      <w:rPr>
        <w:rFonts w:ascii="Wingdings" w:hAnsi="Wingdings" w:hint="default"/>
      </w:rPr>
    </w:lvl>
    <w:lvl w:ilvl="3" w:tplc="04270001">
      <w:start w:val="1"/>
      <w:numFmt w:val="bullet"/>
      <w:lvlText w:val=""/>
      <w:lvlJc w:val="left"/>
      <w:pPr>
        <w:ind w:left="2160" w:hanging="360"/>
      </w:pPr>
      <w:rPr>
        <w:rFonts w:ascii="Symbol" w:hAnsi="Symbol" w:hint="default"/>
      </w:rPr>
    </w:lvl>
    <w:lvl w:ilvl="4" w:tplc="04270003">
      <w:start w:val="1"/>
      <w:numFmt w:val="bullet"/>
      <w:lvlText w:val="o"/>
      <w:lvlJc w:val="left"/>
      <w:pPr>
        <w:ind w:left="2880" w:hanging="360"/>
      </w:pPr>
      <w:rPr>
        <w:rFonts w:ascii="Courier New" w:hAnsi="Courier New" w:cs="Courier New" w:hint="default"/>
      </w:rPr>
    </w:lvl>
    <w:lvl w:ilvl="5" w:tplc="04270005">
      <w:start w:val="1"/>
      <w:numFmt w:val="bullet"/>
      <w:lvlText w:val=""/>
      <w:lvlJc w:val="left"/>
      <w:pPr>
        <w:ind w:left="3600" w:hanging="360"/>
      </w:pPr>
      <w:rPr>
        <w:rFonts w:ascii="Wingdings" w:hAnsi="Wingdings" w:hint="default"/>
      </w:rPr>
    </w:lvl>
    <w:lvl w:ilvl="6" w:tplc="04270001">
      <w:start w:val="1"/>
      <w:numFmt w:val="bullet"/>
      <w:lvlText w:val=""/>
      <w:lvlJc w:val="left"/>
      <w:pPr>
        <w:ind w:left="4320" w:hanging="360"/>
      </w:pPr>
      <w:rPr>
        <w:rFonts w:ascii="Symbol" w:hAnsi="Symbol" w:hint="default"/>
      </w:rPr>
    </w:lvl>
    <w:lvl w:ilvl="7" w:tplc="04270003">
      <w:start w:val="1"/>
      <w:numFmt w:val="bullet"/>
      <w:lvlText w:val="o"/>
      <w:lvlJc w:val="left"/>
      <w:pPr>
        <w:ind w:left="5040" w:hanging="360"/>
      </w:pPr>
      <w:rPr>
        <w:rFonts w:ascii="Courier New" w:hAnsi="Courier New" w:cs="Courier New" w:hint="default"/>
      </w:rPr>
    </w:lvl>
    <w:lvl w:ilvl="8" w:tplc="04270005">
      <w:start w:val="1"/>
      <w:numFmt w:val="bullet"/>
      <w:lvlText w:val=""/>
      <w:lvlJc w:val="left"/>
      <w:pPr>
        <w:ind w:left="5760" w:hanging="360"/>
      </w:pPr>
      <w:rPr>
        <w:rFonts w:ascii="Wingdings" w:hAnsi="Wingdings" w:hint="default"/>
      </w:rPr>
    </w:lvl>
  </w:abstractNum>
  <w:abstractNum w:abstractNumId="1" w15:restartNumberingAfterBreak="0">
    <w:nsid w:val="321D3AA3"/>
    <w:multiLevelType w:val="hybridMultilevel"/>
    <w:tmpl w:val="3E12AA00"/>
    <w:lvl w:ilvl="0" w:tplc="9B3613D6">
      <w:start w:val="1"/>
      <w:numFmt w:val="decimal"/>
      <w:lvlText w:val="%1."/>
      <w:lvlJc w:val="left"/>
      <w:pPr>
        <w:ind w:left="389"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2" w15:restartNumberingAfterBreak="0">
    <w:nsid w:val="34F00B80"/>
    <w:multiLevelType w:val="multilevel"/>
    <w:tmpl w:val="B518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03907"/>
    <w:multiLevelType w:val="hybridMultilevel"/>
    <w:tmpl w:val="F76A5D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6705C3D"/>
    <w:multiLevelType w:val="hybridMultilevel"/>
    <w:tmpl w:val="9F82C7C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60C065C2"/>
    <w:multiLevelType w:val="multilevel"/>
    <w:tmpl w:val="3D9CFF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2551082"/>
    <w:multiLevelType w:val="hybridMultilevel"/>
    <w:tmpl w:val="085051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8B94EE2"/>
    <w:multiLevelType w:val="hybridMultilevel"/>
    <w:tmpl w:val="ED14A9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YztDA0Mzc3MDNU0lEKTi0uzszPAykwqwUA7bCEFywAAAA="/>
  </w:docVars>
  <w:rsids>
    <w:rsidRoot w:val="00181732"/>
    <w:rsid w:val="00000FE6"/>
    <w:rsid w:val="00023641"/>
    <w:rsid w:val="00042EB8"/>
    <w:rsid w:val="00071D64"/>
    <w:rsid w:val="000728BD"/>
    <w:rsid w:val="000D6C2F"/>
    <w:rsid w:val="001005A2"/>
    <w:rsid w:val="00122673"/>
    <w:rsid w:val="001439E1"/>
    <w:rsid w:val="0015201C"/>
    <w:rsid w:val="001653E2"/>
    <w:rsid w:val="00167B62"/>
    <w:rsid w:val="00181732"/>
    <w:rsid w:val="001E1C64"/>
    <w:rsid w:val="003437A5"/>
    <w:rsid w:val="003445AD"/>
    <w:rsid w:val="00354ADB"/>
    <w:rsid w:val="003746D6"/>
    <w:rsid w:val="00376A8B"/>
    <w:rsid w:val="00407B6A"/>
    <w:rsid w:val="00436AAC"/>
    <w:rsid w:val="00437E72"/>
    <w:rsid w:val="00491D00"/>
    <w:rsid w:val="004D5F97"/>
    <w:rsid w:val="004E6054"/>
    <w:rsid w:val="004E7C05"/>
    <w:rsid w:val="004F3B8E"/>
    <w:rsid w:val="00506FEA"/>
    <w:rsid w:val="00531ACF"/>
    <w:rsid w:val="005423DD"/>
    <w:rsid w:val="005562BD"/>
    <w:rsid w:val="005D0E9E"/>
    <w:rsid w:val="005E47FD"/>
    <w:rsid w:val="00644E7D"/>
    <w:rsid w:val="0066233C"/>
    <w:rsid w:val="00670774"/>
    <w:rsid w:val="006E0735"/>
    <w:rsid w:val="006E44FF"/>
    <w:rsid w:val="006E4CEB"/>
    <w:rsid w:val="00713467"/>
    <w:rsid w:val="00742672"/>
    <w:rsid w:val="007473AA"/>
    <w:rsid w:val="007A14E8"/>
    <w:rsid w:val="007F5863"/>
    <w:rsid w:val="00821C9F"/>
    <w:rsid w:val="008257CC"/>
    <w:rsid w:val="00834E75"/>
    <w:rsid w:val="00863B52"/>
    <w:rsid w:val="008C2A42"/>
    <w:rsid w:val="00921522"/>
    <w:rsid w:val="00937AB2"/>
    <w:rsid w:val="00944DC8"/>
    <w:rsid w:val="009B396B"/>
    <w:rsid w:val="009C3249"/>
    <w:rsid w:val="009D21D3"/>
    <w:rsid w:val="00A04338"/>
    <w:rsid w:val="00A348E2"/>
    <w:rsid w:val="00A501A0"/>
    <w:rsid w:val="00A84E70"/>
    <w:rsid w:val="00AB09A7"/>
    <w:rsid w:val="00AB6DEC"/>
    <w:rsid w:val="00AD301F"/>
    <w:rsid w:val="00AD4474"/>
    <w:rsid w:val="00AE0919"/>
    <w:rsid w:val="00AE1C7B"/>
    <w:rsid w:val="00AF6089"/>
    <w:rsid w:val="00B001F1"/>
    <w:rsid w:val="00B5150B"/>
    <w:rsid w:val="00B67D64"/>
    <w:rsid w:val="00B85166"/>
    <w:rsid w:val="00BD5F0D"/>
    <w:rsid w:val="00C01FB9"/>
    <w:rsid w:val="00C1557E"/>
    <w:rsid w:val="00C34182"/>
    <w:rsid w:val="00C5069E"/>
    <w:rsid w:val="00C552BD"/>
    <w:rsid w:val="00C678B4"/>
    <w:rsid w:val="00C67E4B"/>
    <w:rsid w:val="00C84688"/>
    <w:rsid w:val="00CC2935"/>
    <w:rsid w:val="00CE222D"/>
    <w:rsid w:val="00CF4F41"/>
    <w:rsid w:val="00D329ED"/>
    <w:rsid w:val="00D32C58"/>
    <w:rsid w:val="00D52E63"/>
    <w:rsid w:val="00D55F6C"/>
    <w:rsid w:val="00DA6B57"/>
    <w:rsid w:val="00E17955"/>
    <w:rsid w:val="00E41782"/>
    <w:rsid w:val="00E83520"/>
    <w:rsid w:val="00E91E50"/>
    <w:rsid w:val="00EA3E19"/>
    <w:rsid w:val="00EA76B4"/>
    <w:rsid w:val="00ED1360"/>
    <w:rsid w:val="00EE6F8A"/>
    <w:rsid w:val="00F037EA"/>
    <w:rsid w:val="00F23B80"/>
    <w:rsid w:val="00F87770"/>
    <w:rsid w:val="00FB4B0F"/>
    <w:rsid w:val="00FE6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39B8"/>
  <w15:chartTrackingRefBased/>
  <w15:docId w15:val="{5D9D09D8-8379-41BD-B9F8-FA3FF220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732"/>
    <w:pPr>
      <w:spacing w:after="0" w:line="240" w:lineRule="auto"/>
      <w:ind w:left="720"/>
    </w:pPr>
    <w:rPr>
      <w:rFonts w:ascii="Calibri" w:hAnsi="Calibri" w:cs="Calibri"/>
      <w:lang w:eastAsia="lt-LT"/>
    </w:rPr>
  </w:style>
  <w:style w:type="paragraph" w:styleId="NormalWeb">
    <w:name w:val="Normal (Web)"/>
    <w:basedOn w:val="Normal"/>
    <w:uiPriority w:val="99"/>
    <w:semiHidden/>
    <w:unhideWhenUsed/>
    <w:rsid w:val="00944DC8"/>
    <w:pPr>
      <w:spacing w:after="0" w:line="360" w:lineRule="atLeast"/>
    </w:pPr>
    <w:rPr>
      <w:rFonts w:ascii="Montserrat" w:eastAsia="Times New Roman" w:hAnsi="Montserrat" w:cs="Times New Roman"/>
      <w:color w:val="181717"/>
      <w:sz w:val="23"/>
      <w:szCs w:val="23"/>
      <w:lang w:eastAsia="lt-LT"/>
    </w:rPr>
  </w:style>
  <w:style w:type="character" w:styleId="Emphasis">
    <w:name w:val="Emphasis"/>
    <w:basedOn w:val="DefaultParagraphFont"/>
    <w:uiPriority w:val="20"/>
    <w:qFormat/>
    <w:rsid w:val="00944DC8"/>
    <w:rPr>
      <w:i/>
      <w:iCs/>
    </w:rPr>
  </w:style>
  <w:style w:type="character" w:styleId="Hyperlink">
    <w:name w:val="Hyperlink"/>
    <w:basedOn w:val="DefaultParagraphFont"/>
    <w:uiPriority w:val="99"/>
    <w:unhideWhenUsed/>
    <w:rsid w:val="00042EB8"/>
    <w:rPr>
      <w:color w:val="0563C1" w:themeColor="hyperlink"/>
      <w:u w:val="single"/>
    </w:rPr>
  </w:style>
  <w:style w:type="paragraph" w:styleId="BalloonText">
    <w:name w:val="Balloon Text"/>
    <w:basedOn w:val="Normal"/>
    <w:link w:val="BalloonTextChar"/>
    <w:uiPriority w:val="99"/>
    <w:semiHidden/>
    <w:unhideWhenUsed/>
    <w:rsid w:val="00F2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80"/>
    <w:rPr>
      <w:rFonts w:ascii="Segoe UI" w:hAnsi="Segoe UI" w:cs="Segoe UI"/>
      <w:sz w:val="18"/>
      <w:szCs w:val="18"/>
    </w:rPr>
  </w:style>
  <w:style w:type="character" w:styleId="CommentReference">
    <w:name w:val="annotation reference"/>
    <w:basedOn w:val="DefaultParagraphFont"/>
    <w:uiPriority w:val="99"/>
    <w:semiHidden/>
    <w:unhideWhenUsed/>
    <w:rsid w:val="000728BD"/>
    <w:rPr>
      <w:sz w:val="16"/>
      <w:szCs w:val="16"/>
    </w:rPr>
  </w:style>
  <w:style w:type="paragraph" w:styleId="CommentText">
    <w:name w:val="annotation text"/>
    <w:basedOn w:val="Normal"/>
    <w:link w:val="CommentTextChar"/>
    <w:uiPriority w:val="99"/>
    <w:semiHidden/>
    <w:unhideWhenUsed/>
    <w:rsid w:val="000728BD"/>
    <w:pPr>
      <w:spacing w:line="240" w:lineRule="auto"/>
    </w:pPr>
    <w:rPr>
      <w:sz w:val="20"/>
      <w:szCs w:val="20"/>
    </w:rPr>
  </w:style>
  <w:style w:type="character" w:customStyle="1" w:styleId="CommentTextChar">
    <w:name w:val="Comment Text Char"/>
    <w:basedOn w:val="DefaultParagraphFont"/>
    <w:link w:val="CommentText"/>
    <w:uiPriority w:val="99"/>
    <w:semiHidden/>
    <w:rsid w:val="000728BD"/>
    <w:rPr>
      <w:sz w:val="20"/>
      <w:szCs w:val="20"/>
    </w:rPr>
  </w:style>
  <w:style w:type="paragraph" w:styleId="CommentSubject">
    <w:name w:val="annotation subject"/>
    <w:basedOn w:val="CommentText"/>
    <w:next w:val="CommentText"/>
    <w:link w:val="CommentSubjectChar"/>
    <w:uiPriority w:val="99"/>
    <w:semiHidden/>
    <w:unhideWhenUsed/>
    <w:rsid w:val="000728BD"/>
    <w:rPr>
      <w:b/>
      <w:bCs/>
    </w:rPr>
  </w:style>
  <w:style w:type="character" w:customStyle="1" w:styleId="CommentSubjectChar">
    <w:name w:val="Comment Subject Char"/>
    <w:basedOn w:val="CommentTextChar"/>
    <w:link w:val="CommentSubject"/>
    <w:uiPriority w:val="99"/>
    <w:semiHidden/>
    <w:rsid w:val="000728BD"/>
    <w:rPr>
      <w:b/>
      <w:bCs/>
      <w:sz w:val="20"/>
      <w:szCs w:val="20"/>
    </w:rPr>
  </w:style>
  <w:style w:type="character" w:styleId="FollowedHyperlink">
    <w:name w:val="FollowedHyperlink"/>
    <w:basedOn w:val="DefaultParagraphFont"/>
    <w:uiPriority w:val="99"/>
    <w:semiHidden/>
    <w:unhideWhenUsed/>
    <w:rsid w:val="00834E75"/>
    <w:rPr>
      <w:color w:val="954F72" w:themeColor="followedHyperlink"/>
      <w:u w:val="single"/>
    </w:rPr>
  </w:style>
  <w:style w:type="paragraph" w:styleId="Header">
    <w:name w:val="header"/>
    <w:basedOn w:val="Normal"/>
    <w:link w:val="HeaderChar"/>
    <w:uiPriority w:val="99"/>
    <w:unhideWhenUsed/>
    <w:rsid w:val="00407B6A"/>
    <w:pPr>
      <w:tabs>
        <w:tab w:val="center" w:pos="4986"/>
        <w:tab w:val="right" w:pos="9972"/>
      </w:tabs>
      <w:spacing w:after="0" w:line="240" w:lineRule="auto"/>
    </w:pPr>
  </w:style>
  <w:style w:type="character" w:customStyle="1" w:styleId="HeaderChar">
    <w:name w:val="Header Char"/>
    <w:basedOn w:val="DefaultParagraphFont"/>
    <w:link w:val="Header"/>
    <w:uiPriority w:val="99"/>
    <w:rsid w:val="00407B6A"/>
  </w:style>
  <w:style w:type="paragraph" w:styleId="Footer">
    <w:name w:val="footer"/>
    <w:basedOn w:val="Normal"/>
    <w:link w:val="FooterChar"/>
    <w:uiPriority w:val="99"/>
    <w:unhideWhenUsed/>
    <w:rsid w:val="00407B6A"/>
    <w:pPr>
      <w:tabs>
        <w:tab w:val="center" w:pos="4986"/>
        <w:tab w:val="right" w:pos="9972"/>
      </w:tabs>
      <w:spacing w:after="0" w:line="240" w:lineRule="auto"/>
    </w:pPr>
  </w:style>
  <w:style w:type="character" w:customStyle="1" w:styleId="FooterChar">
    <w:name w:val="Footer Char"/>
    <w:basedOn w:val="DefaultParagraphFont"/>
    <w:link w:val="Footer"/>
    <w:uiPriority w:val="99"/>
    <w:rsid w:val="0040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3222">
      <w:bodyDiv w:val="1"/>
      <w:marLeft w:val="0"/>
      <w:marRight w:val="0"/>
      <w:marTop w:val="0"/>
      <w:marBottom w:val="0"/>
      <w:divBdr>
        <w:top w:val="none" w:sz="0" w:space="0" w:color="auto"/>
        <w:left w:val="none" w:sz="0" w:space="0" w:color="auto"/>
        <w:bottom w:val="none" w:sz="0" w:space="0" w:color="auto"/>
        <w:right w:val="none" w:sz="0" w:space="0" w:color="auto"/>
      </w:divBdr>
    </w:div>
    <w:div w:id="727612213">
      <w:bodyDiv w:val="1"/>
      <w:marLeft w:val="0"/>
      <w:marRight w:val="0"/>
      <w:marTop w:val="0"/>
      <w:marBottom w:val="0"/>
      <w:divBdr>
        <w:top w:val="none" w:sz="0" w:space="0" w:color="auto"/>
        <w:left w:val="none" w:sz="0" w:space="0" w:color="auto"/>
        <w:bottom w:val="none" w:sz="0" w:space="0" w:color="auto"/>
        <w:right w:val="none" w:sz="0" w:space="0" w:color="auto"/>
      </w:divBdr>
      <w:divsChild>
        <w:div w:id="1345477186">
          <w:marLeft w:val="0"/>
          <w:marRight w:val="0"/>
          <w:marTop w:val="0"/>
          <w:marBottom w:val="0"/>
          <w:divBdr>
            <w:top w:val="none" w:sz="0" w:space="0" w:color="auto"/>
            <w:left w:val="none" w:sz="0" w:space="0" w:color="auto"/>
            <w:bottom w:val="none" w:sz="0" w:space="0" w:color="auto"/>
            <w:right w:val="none" w:sz="0" w:space="0" w:color="auto"/>
          </w:divBdr>
          <w:divsChild>
            <w:div w:id="19858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420">
      <w:bodyDiv w:val="1"/>
      <w:marLeft w:val="0"/>
      <w:marRight w:val="0"/>
      <w:marTop w:val="0"/>
      <w:marBottom w:val="0"/>
      <w:divBdr>
        <w:top w:val="none" w:sz="0" w:space="0" w:color="auto"/>
        <w:left w:val="none" w:sz="0" w:space="0" w:color="auto"/>
        <w:bottom w:val="none" w:sz="0" w:space="0" w:color="auto"/>
        <w:right w:val="none" w:sz="0" w:space="0" w:color="auto"/>
      </w:divBdr>
    </w:div>
    <w:div w:id="1599823520">
      <w:bodyDiv w:val="1"/>
      <w:marLeft w:val="0"/>
      <w:marRight w:val="0"/>
      <w:marTop w:val="0"/>
      <w:marBottom w:val="0"/>
      <w:divBdr>
        <w:top w:val="none" w:sz="0" w:space="0" w:color="auto"/>
        <w:left w:val="none" w:sz="0" w:space="0" w:color="auto"/>
        <w:bottom w:val="none" w:sz="0" w:space="0" w:color="auto"/>
        <w:right w:val="none" w:sz="0" w:space="0" w:color="auto"/>
      </w:divBdr>
    </w:div>
    <w:div w:id="1770735527">
      <w:bodyDiv w:val="1"/>
      <w:marLeft w:val="0"/>
      <w:marRight w:val="0"/>
      <w:marTop w:val="0"/>
      <w:marBottom w:val="0"/>
      <w:divBdr>
        <w:top w:val="none" w:sz="0" w:space="0" w:color="auto"/>
        <w:left w:val="none" w:sz="0" w:space="0" w:color="auto"/>
        <w:bottom w:val="none" w:sz="0" w:space="0" w:color="auto"/>
        <w:right w:val="none" w:sz="0" w:space="0" w:color="auto"/>
      </w:divBdr>
    </w:div>
    <w:div w:id="1850486262">
      <w:bodyDiv w:val="1"/>
      <w:marLeft w:val="0"/>
      <w:marRight w:val="0"/>
      <w:marTop w:val="0"/>
      <w:marBottom w:val="0"/>
      <w:divBdr>
        <w:top w:val="none" w:sz="0" w:space="0" w:color="auto"/>
        <w:left w:val="none" w:sz="0" w:space="0" w:color="auto"/>
        <w:bottom w:val="none" w:sz="0" w:space="0" w:color="auto"/>
        <w:right w:val="none" w:sz="0" w:space="0" w:color="auto"/>
      </w:divBdr>
    </w:div>
    <w:div w:id="1880631198">
      <w:bodyDiv w:val="1"/>
      <w:marLeft w:val="0"/>
      <w:marRight w:val="0"/>
      <w:marTop w:val="0"/>
      <w:marBottom w:val="0"/>
      <w:divBdr>
        <w:top w:val="none" w:sz="0" w:space="0" w:color="auto"/>
        <w:left w:val="none" w:sz="0" w:space="0" w:color="auto"/>
        <w:bottom w:val="none" w:sz="0" w:space="0" w:color="auto"/>
        <w:right w:val="none" w:sz="0" w:space="0" w:color="auto"/>
      </w:divBdr>
    </w:div>
    <w:div w:id="20733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liauk.ur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gate.ec.europa.eu/fpfis/wikis/pages/viewpage.action?pageId=4655750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asmus-plius.lt/naujienos/svietimas/informacija-erasmus-programos-dalyviams-del-koronaviruso/" TargetMode="External"/><Relationship Id="rId5" Type="http://schemas.openxmlformats.org/officeDocument/2006/relationships/footnotes" Target="footnotes.xml"/><Relationship Id="rId10" Type="http://schemas.openxmlformats.org/officeDocument/2006/relationships/hyperlink" Target="https://ec.europa.eu/health/coronavirus_en" TargetMode="External"/><Relationship Id="rId4" Type="http://schemas.openxmlformats.org/officeDocument/2006/relationships/webSettings" Target="webSettings.xml"/><Relationship Id="rId9" Type="http://schemas.openxmlformats.org/officeDocument/2006/relationships/hyperlink" Target="https://www.ecdc.europa.eu/en/geographical-distribution-2019-ncov-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5916</Words>
  <Characters>3373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Augustė Jalinskaitė</dc:creator>
  <cp:keywords/>
  <dc:description/>
  <cp:lastModifiedBy>Vaiva Ružaitė</cp:lastModifiedBy>
  <cp:revision>2</cp:revision>
  <dcterms:created xsi:type="dcterms:W3CDTF">2020-03-25T06:56:00Z</dcterms:created>
  <dcterms:modified xsi:type="dcterms:W3CDTF">2020-03-25T06:56:00Z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-161399874</vt:i4>
  </property>
</Properties>
</file>