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461E9" w14:textId="0B06804D" w:rsidR="00EC424E" w:rsidRPr="00F75909" w:rsidRDefault="00A40124" w:rsidP="00221573">
      <w:pPr>
        <w:jc w:val="center"/>
        <w:rPr>
          <w:b/>
          <w:sz w:val="24"/>
        </w:rPr>
      </w:pPr>
      <w:r w:rsidRPr="00F75909">
        <w:rPr>
          <w:b/>
          <w:sz w:val="24"/>
        </w:rPr>
        <w:t>ESF lėšų naudojim</w:t>
      </w:r>
      <w:r w:rsidR="005E6272" w:rsidRPr="00F75909">
        <w:rPr>
          <w:b/>
          <w:sz w:val="24"/>
        </w:rPr>
        <w:t>o</w:t>
      </w:r>
      <w:r w:rsidRPr="00F75909">
        <w:rPr>
          <w:b/>
          <w:sz w:val="24"/>
        </w:rPr>
        <w:t xml:space="preserve"> „</w:t>
      </w:r>
      <w:r w:rsidR="009E6D23">
        <w:rPr>
          <w:b/>
          <w:sz w:val="24"/>
        </w:rPr>
        <w:t>Erasmus</w:t>
      </w:r>
      <w:r w:rsidRPr="004A24DA">
        <w:rPr>
          <w:b/>
          <w:sz w:val="24"/>
        </w:rPr>
        <w:t xml:space="preserve">+“ </w:t>
      </w:r>
      <w:r w:rsidRPr="001D65DB">
        <w:rPr>
          <w:b/>
          <w:sz w:val="24"/>
        </w:rPr>
        <w:t xml:space="preserve">KA107 </w:t>
      </w:r>
      <w:r w:rsidRPr="00F75909">
        <w:rPr>
          <w:b/>
          <w:sz w:val="24"/>
        </w:rPr>
        <w:t>veikloje</w:t>
      </w:r>
      <w:r w:rsidR="005E6272" w:rsidRPr="00F75909">
        <w:rPr>
          <w:b/>
          <w:sz w:val="24"/>
        </w:rPr>
        <w:t xml:space="preserve"> principai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BF27DB" w:rsidRPr="00F75909" w14:paraId="6A95E67D" w14:textId="7DC04341" w:rsidTr="00B75990">
        <w:tc>
          <w:tcPr>
            <w:tcW w:w="4927" w:type="dxa"/>
          </w:tcPr>
          <w:p w14:paraId="6054A09F" w14:textId="2EEA237D" w:rsidR="00BF27DB" w:rsidRPr="00F75909" w:rsidRDefault="00BF27DB" w:rsidP="00B75990">
            <w:pPr>
              <w:jc w:val="center"/>
              <w:rPr>
                <w:b/>
              </w:rPr>
            </w:pPr>
            <w:r w:rsidRPr="00F75909">
              <w:rPr>
                <w:b/>
              </w:rPr>
              <w:t>2017 m./2018 m.</w:t>
            </w:r>
          </w:p>
        </w:tc>
        <w:tc>
          <w:tcPr>
            <w:tcW w:w="4927" w:type="dxa"/>
          </w:tcPr>
          <w:p w14:paraId="29A2EE1F" w14:textId="63A5D534" w:rsidR="00BF27DB" w:rsidRPr="00F75909" w:rsidRDefault="00BF27DB" w:rsidP="00B75990">
            <w:pPr>
              <w:jc w:val="center"/>
              <w:rPr>
                <w:b/>
              </w:rPr>
            </w:pPr>
            <w:r w:rsidRPr="00F75909">
              <w:rPr>
                <w:b/>
              </w:rPr>
              <w:t>2019 m.</w:t>
            </w:r>
          </w:p>
        </w:tc>
        <w:tc>
          <w:tcPr>
            <w:tcW w:w="4927" w:type="dxa"/>
          </w:tcPr>
          <w:p w14:paraId="53E10215" w14:textId="70F40DB2" w:rsidR="00BF27DB" w:rsidRPr="00F75909" w:rsidRDefault="00BF27DB" w:rsidP="00B7599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75909">
              <w:rPr>
                <w:b/>
              </w:rPr>
              <w:t xml:space="preserve"> m.</w:t>
            </w:r>
          </w:p>
        </w:tc>
      </w:tr>
      <w:tr w:rsidR="00BF27DB" w:rsidRPr="00F75909" w14:paraId="4BE43D91" w14:textId="7A19C800" w:rsidTr="00B75990">
        <w:trPr>
          <w:trHeight w:val="483"/>
        </w:trPr>
        <w:tc>
          <w:tcPr>
            <w:tcW w:w="4927" w:type="dxa"/>
          </w:tcPr>
          <w:p w14:paraId="13B83157" w14:textId="333A9B8A" w:rsidR="00BF27DB" w:rsidRPr="00F75909" w:rsidRDefault="00BF27DB" w:rsidP="00B75990">
            <w:r w:rsidRPr="00F75909">
              <w:t xml:space="preserve">ESF lėšos gali būti skiriamos tik </w:t>
            </w:r>
            <w:r w:rsidRPr="00F75909">
              <w:rPr>
                <w:b/>
              </w:rPr>
              <w:t xml:space="preserve">išvykstančių </w:t>
            </w:r>
            <w:r w:rsidRPr="00F75909">
              <w:t xml:space="preserve">studentų </w:t>
            </w:r>
            <w:r w:rsidRPr="00F75909">
              <w:rPr>
                <w:b/>
              </w:rPr>
              <w:t xml:space="preserve">studijų </w:t>
            </w:r>
            <w:r w:rsidRPr="00F75909">
              <w:t>mobilumui</w:t>
            </w:r>
            <w:r>
              <w:t>.</w:t>
            </w:r>
          </w:p>
        </w:tc>
        <w:tc>
          <w:tcPr>
            <w:tcW w:w="4927" w:type="dxa"/>
          </w:tcPr>
          <w:p w14:paraId="1C49879C" w14:textId="46023206" w:rsidR="00BF27DB" w:rsidRPr="00F75909" w:rsidRDefault="00BF27DB" w:rsidP="00B75990">
            <w:r w:rsidRPr="00F75909">
              <w:t xml:space="preserve">ESF lėšos gali būti skiriamos tik </w:t>
            </w:r>
            <w:r w:rsidRPr="00F75909">
              <w:rPr>
                <w:b/>
              </w:rPr>
              <w:t xml:space="preserve">išvykstančių </w:t>
            </w:r>
            <w:r w:rsidRPr="00F75909">
              <w:t xml:space="preserve">studentų </w:t>
            </w:r>
            <w:r w:rsidRPr="00F75909">
              <w:rPr>
                <w:b/>
              </w:rPr>
              <w:t>studijų</w:t>
            </w:r>
            <w:r w:rsidRPr="00F75909">
              <w:t xml:space="preserve"> mobilumui</w:t>
            </w:r>
            <w:r>
              <w:t>.</w:t>
            </w:r>
          </w:p>
        </w:tc>
        <w:tc>
          <w:tcPr>
            <w:tcW w:w="4927" w:type="dxa"/>
          </w:tcPr>
          <w:p w14:paraId="4A1AA92D" w14:textId="5D45EB24" w:rsidR="00BF27DB" w:rsidRPr="00F75909" w:rsidRDefault="00BF27DB" w:rsidP="00B75990">
            <w:r w:rsidRPr="00F75909">
              <w:t xml:space="preserve">ESF lėšos gali būti skiriamos tik </w:t>
            </w:r>
            <w:r w:rsidRPr="00F75909">
              <w:rPr>
                <w:b/>
              </w:rPr>
              <w:t xml:space="preserve">išvykstančių </w:t>
            </w:r>
            <w:r w:rsidRPr="00F75909">
              <w:t xml:space="preserve">studentų </w:t>
            </w:r>
            <w:r w:rsidRPr="00F75909">
              <w:rPr>
                <w:b/>
              </w:rPr>
              <w:t>studijų</w:t>
            </w:r>
            <w:r w:rsidRPr="00F75909">
              <w:t xml:space="preserve"> mobilumui</w:t>
            </w:r>
            <w:r>
              <w:t>.</w:t>
            </w:r>
          </w:p>
        </w:tc>
      </w:tr>
      <w:tr w:rsidR="00BF27DB" w:rsidRPr="00F75909" w14:paraId="32B41BC2" w14:textId="7BD902E1" w:rsidTr="00B75990">
        <w:tc>
          <w:tcPr>
            <w:tcW w:w="4927" w:type="dxa"/>
          </w:tcPr>
          <w:p w14:paraId="367810A3" w14:textId="77777777" w:rsidR="00BF27DB" w:rsidRDefault="00BF27DB" w:rsidP="00B75990">
            <w:pPr>
              <w:jc w:val="center"/>
            </w:pPr>
          </w:p>
          <w:p w14:paraId="37231CE6" w14:textId="77777777" w:rsidR="00BF27DB" w:rsidRDefault="00BF27DB" w:rsidP="00B75990">
            <w:pPr>
              <w:jc w:val="center"/>
            </w:pPr>
          </w:p>
          <w:p w14:paraId="59187BAB" w14:textId="77777777" w:rsidR="00BF27DB" w:rsidRDefault="00BF27DB" w:rsidP="00B75990">
            <w:pPr>
              <w:jc w:val="center"/>
            </w:pPr>
          </w:p>
          <w:p w14:paraId="01F3F79A" w14:textId="6D2C4DFC" w:rsidR="00BF27DB" w:rsidRPr="00F75909" w:rsidRDefault="00BF27DB" w:rsidP="00B75990">
            <w:pPr>
              <w:jc w:val="center"/>
            </w:pPr>
            <w:r>
              <w:t>-</w:t>
            </w:r>
          </w:p>
        </w:tc>
        <w:tc>
          <w:tcPr>
            <w:tcW w:w="4927" w:type="dxa"/>
          </w:tcPr>
          <w:p w14:paraId="076E6F65" w14:textId="641F704F" w:rsidR="00BF27DB" w:rsidRPr="00F75909" w:rsidRDefault="00BF27DB" w:rsidP="00B75990">
            <w:r w:rsidRPr="003730BB">
              <w:t>ESF lėšomis finansuojamus mobilumus galima planuoti tiek 24, tiek 36 mėn. trukmės KA107 veiklos 2019 m. projektuose. Atsižvelgiant į tai, kad ESF projektas baigsis 202</w:t>
            </w:r>
            <w:r w:rsidR="001D65DB">
              <w:t>3</w:t>
            </w:r>
            <w:r w:rsidRPr="003730BB">
              <w:t>-</w:t>
            </w:r>
            <w:r w:rsidR="001D65DB">
              <w:t>09</w:t>
            </w:r>
            <w:r w:rsidRPr="003730BB">
              <w:t>-</w:t>
            </w:r>
            <w:r w:rsidR="001D65DB">
              <w:t>0</w:t>
            </w:r>
            <w:r w:rsidRPr="003730BB">
              <w:t xml:space="preserve">1, ESF lėšomis finansuojami mobilumai </w:t>
            </w:r>
            <w:r w:rsidRPr="00027672">
              <w:rPr>
                <w:b/>
              </w:rPr>
              <w:t xml:space="preserve">turės būti įgyvendinti iki ESF sutartyje </w:t>
            </w:r>
            <w:r w:rsidR="00E9205E">
              <w:rPr>
                <w:b/>
              </w:rPr>
              <w:t>nurodyto</w:t>
            </w:r>
            <w:r w:rsidR="00E9205E" w:rsidRPr="00027672">
              <w:rPr>
                <w:b/>
              </w:rPr>
              <w:t xml:space="preserve"> </w:t>
            </w:r>
            <w:r w:rsidRPr="00027672">
              <w:rPr>
                <w:b/>
              </w:rPr>
              <w:t>termino.</w:t>
            </w:r>
          </w:p>
        </w:tc>
        <w:tc>
          <w:tcPr>
            <w:tcW w:w="4927" w:type="dxa"/>
          </w:tcPr>
          <w:p w14:paraId="4F506248" w14:textId="3490FFED" w:rsidR="00BF27DB" w:rsidRPr="003730BB" w:rsidRDefault="00BF27DB" w:rsidP="00B75990">
            <w:r w:rsidRPr="003730BB">
              <w:t>ESF lėšomis finansuojamus mobilumus galima planuoti 24</w:t>
            </w:r>
            <w:r>
              <w:t xml:space="preserve"> arba</w:t>
            </w:r>
            <w:r w:rsidRPr="003730BB">
              <w:t xml:space="preserve"> 36</w:t>
            </w:r>
            <w:r>
              <w:t xml:space="preserve"> mėn. trukmės KA107 veiklos 2020</w:t>
            </w:r>
            <w:r w:rsidR="009E6D23">
              <w:t xml:space="preserve"> m. projektuose.</w:t>
            </w:r>
            <w:r w:rsidR="001D65DB" w:rsidRPr="003730BB">
              <w:t xml:space="preserve"> Atsižvelgiant į tai, kad ESF projektas baigsis 202</w:t>
            </w:r>
            <w:r w:rsidR="001D65DB">
              <w:t>3</w:t>
            </w:r>
            <w:r w:rsidR="001D65DB" w:rsidRPr="003730BB">
              <w:t>-</w:t>
            </w:r>
            <w:r w:rsidR="001D65DB">
              <w:t>09</w:t>
            </w:r>
            <w:r w:rsidR="001D65DB" w:rsidRPr="003730BB">
              <w:t>-</w:t>
            </w:r>
            <w:r w:rsidR="001D65DB">
              <w:t>0</w:t>
            </w:r>
            <w:r w:rsidR="001D65DB" w:rsidRPr="003730BB">
              <w:t xml:space="preserve">1, ESF lėšomis finansuojami mobilumai </w:t>
            </w:r>
            <w:r w:rsidR="001D65DB" w:rsidRPr="00027672">
              <w:rPr>
                <w:b/>
              </w:rPr>
              <w:t xml:space="preserve">turės būti įgyvendinti iki ESF sutartyje </w:t>
            </w:r>
            <w:r w:rsidR="001D65DB">
              <w:rPr>
                <w:b/>
              </w:rPr>
              <w:t>nurodyto</w:t>
            </w:r>
            <w:r w:rsidR="001D65DB" w:rsidRPr="00027672">
              <w:rPr>
                <w:b/>
              </w:rPr>
              <w:t xml:space="preserve"> termino.</w:t>
            </w:r>
          </w:p>
        </w:tc>
      </w:tr>
      <w:tr w:rsidR="00BF27DB" w:rsidRPr="00F75909" w14:paraId="3950B9AB" w14:textId="59D73766" w:rsidTr="00B75990">
        <w:tc>
          <w:tcPr>
            <w:tcW w:w="4927" w:type="dxa"/>
          </w:tcPr>
          <w:p w14:paraId="34DA4103" w14:textId="7AF8BB69" w:rsidR="00BF27DB" w:rsidRPr="00F75909" w:rsidRDefault="00BF27DB" w:rsidP="00B75990">
            <w:pPr>
              <w:rPr>
                <w:u w:val="single"/>
              </w:rPr>
            </w:pPr>
            <w:r w:rsidRPr="00F75909">
              <w:rPr>
                <w:u w:val="single"/>
              </w:rPr>
              <w:t>Laisvas lėšų perkėlimas tarp šalių.</w:t>
            </w:r>
          </w:p>
          <w:p w14:paraId="0E1AD1F9" w14:textId="5B1ADC7B" w:rsidR="00BF27DB" w:rsidRPr="00F75909" w:rsidRDefault="00BF27DB" w:rsidP="00B75990">
            <w:r w:rsidRPr="00F75909">
              <w:t xml:space="preserve">Neįgyvendinus išvykstančio studento studijų mobilumo šalyje, kuri buvo nurodyta rašte, dėl ESF lėšų skyrimo, MSI turi teisę organizuoti mobilumą į kitą šalį, patvirtintą tų metų EK sutartyje </w:t>
            </w:r>
            <w:r w:rsidRPr="00F75909">
              <w:rPr>
                <w:u w:val="single"/>
              </w:rPr>
              <w:t>su sąlyga, kad paraiškoje buvo prašytas išvykstančio studento studijų mobilumas</w:t>
            </w:r>
            <w:r w:rsidRPr="00F75909">
              <w:t>.</w:t>
            </w:r>
          </w:p>
        </w:tc>
        <w:tc>
          <w:tcPr>
            <w:tcW w:w="4927" w:type="dxa"/>
          </w:tcPr>
          <w:p w14:paraId="35F5FF52" w14:textId="2F1B62FF" w:rsidR="00BF27DB" w:rsidRPr="00F75909" w:rsidRDefault="00BF27DB" w:rsidP="00B75990">
            <w:r w:rsidRPr="00F75909">
              <w:t xml:space="preserve">Siekiant įgyvendinti studijų mobilumus, </w:t>
            </w:r>
            <w:r w:rsidRPr="00F75909">
              <w:rPr>
                <w:b/>
              </w:rPr>
              <w:t>būtina aprašyti išvykstančio studento mobilumą paraiškoje</w:t>
            </w:r>
            <w:r w:rsidRPr="00F75909">
              <w:t xml:space="preserve"> (galima paprašyti bent vieno studento). Esant galimybei (kuomet šalis įvertinama kaip kokybiška), gali būti skiriamos ESF lėšos.</w:t>
            </w:r>
          </w:p>
        </w:tc>
        <w:tc>
          <w:tcPr>
            <w:tcW w:w="4927" w:type="dxa"/>
          </w:tcPr>
          <w:p w14:paraId="097D8950" w14:textId="77777777" w:rsidR="00BF27DB" w:rsidRDefault="00BF27DB" w:rsidP="00B75990">
            <w:r w:rsidRPr="00F75909">
              <w:t xml:space="preserve">Siekiant įgyvendinti studijų mobilumus, </w:t>
            </w:r>
            <w:r w:rsidRPr="00F75909">
              <w:rPr>
                <w:b/>
              </w:rPr>
              <w:t>būtina aprašyti išvykstančio studento mobilumą paraiškoje</w:t>
            </w:r>
            <w:r w:rsidRPr="00F75909">
              <w:t xml:space="preserve"> (galima paprašyti bent vieno studento). Esant galimybei (kuomet šalis įvertinama kaip kokybiška), gali būti skiriamos ESF lėšos.</w:t>
            </w:r>
          </w:p>
          <w:p w14:paraId="30753CB1" w14:textId="526A68DF" w:rsidR="00BD7FD5" w:rsidRPr="00F75909" w:rsidRDefault="00BD7FD5" w:rsidP="00B75990">
            <w:r>
              <w:t>Mobilumas laikomas aprašytu/paprašytu, kuomet jis įtraukiamas į paraiškos biudžetą (net ir tuo atveju, kai tai yra „</w:t>
            </w:r>
            <w:proofErr w:type="spellStart"/>
            <w:r>
              <w:t>Zero</w:t>
            </w:r>
            <w:proofErr w:type="spellEnd"/>
            <w:r>
              <w:t xml:space="preserve"> </w:t>
            </w:r>
            <w:proofErr w:type="spellStart"/>
            <w:r>
              <w:t>Grant</w:t>
            </w:r>
            <w:proofErr w:type="spellEnd"/>
            <w:r>
              <w:t>“</w:t>
            </w:r>
            <w:r w:rsidR="00513B37">
              <w:t>).</w:t>
            </w:r>
            <w:bookmarkStart w:id="0" w:name="_GoBack"/>
            <w:bookmarkEnd w:id="0"/>
          </w:p>
        </w:tc>
      </w:tr>
      <w:tr w:rsidR="00BF27DB" w:rsidRPr="00F75909" w14:paraId="180FB1AB" w14:textId="1CA616B6" w:rsidTr="00B75990">
        <w:tc>
          <w:tcPr>
            <w:tcW w:w="4927" w:type="dxa"/>
          </w:tcPr>
          <w:p w14:paraId="78874E42" w14:textId="6C35D2CF" w:rsidR="00BF27DB" w:rsidRPr="00F75909" w:rsidRDefault="00BF27DB" w:rsidP="00B75990">
            <w:pPr>
              <w:rPr>
                <w:u w:val="single"/>
              </w:rPr>
            </w:pPr>
            <w:r w:rsidRPr="00F75909">
              <w:rPr>
                <w:u w:val="single"/>
              </w:rPr>
              <w:t>Galimybė perkelti lėšas iš 2017 m. į 2018 m.</w:t>
            </w:r>
          </w:p>
          <w:p w14:paraId="33283FF0" w14:textId="5E9D713F" w:rsidR="00BF27DB" w:rsidRPr="00F75909" w:rsidRDefault="00BF27DB" w:rsidP="00B75990">
            <w:r w:rsidRPr="00F75909">
              <w:t xml:space="preserve">Neįgyvendinus studento studijų mobilumo 2017 m. EK projekte, ESF lėšos gali būti naudojamos išvykstančių studentų studijų kofinansavimui 2018 m. EK projekte, </w:t>
            </w:r>
            <w:r w:rsidRPr="00F75909">
              <w:rPr>
                <w:u w:val="single"/>
              </w:rPr>
              <w:t>bet tik į tas patvirtintas šalis partneres, kuriose paraiškoje buvo aprašytas išvykstančio studento studijų mobilumas</w:t>
            </w:r>
            <w:r w:rsidRPr="00F75909">
              <w:t>. Šiuo atveju, institucija turi teikti prašymą, dėl lėšų perkėlimo ŠMPF.</w:t>
            </w:r>
          </w:p>
          <w:p w14:paraId="68EF9688" w14:textId="30893426" w:rsidR="00BF27DB" w:rsidRPr="00F75909" w:rsidRDefault="00BF27DB" w:rsidP="00B75990">
            <w:r w:rsidRPr="00F75909">
              <w:t xml:space="preserve">Studentų mobilumai </w:t>
            </w:r>
            <w:r w:rsidRPr="0093675F">
              <w:rPr>
                <w:u w:val="single"/>
              </w:rPr>
              <w:t>apskaičiuojami pagal tų metų EK sutarties stipendijų ir kelionės išmokos įkainius</w:t>
            </w:r>
            <w:r w:rsidRPr="00F75909">
              <w:t>.</w:t>
            </w:r>
          </w:p>
        </w:tc>
        <w:tc>
          <w:tcPr>
            <w:tcW w:w="4927" w:type="dxa"/>
          </w:tcPr>
          <w:p w14:paraId="4A6ECF33" w14:textId="252473A6" w:rsidR="00BF27DB" w:rsidRPr="00F75909" w:rsidRDefault="001655BA" w:rsidP="00B75990">
            <w:r>
              <w:t xml:space="preserve">Galimas </w:t>
            </w:r>
            <w:r w:rsidR="00BF27DB" w:rsidRPr="00F75909">
              <w:t xml:space="preserve">BA ir MA studijų finansavimas EDF ir DCI regionuose. Tačiau </w:t>
            </w:r>
            <w:r w:rsidR="00BF27DB" w:rsidRPr="00F75909">
              <w:rPr>
                <w:u w:val="single"/>
              </w:rPr>
              <w:t>išvykstančio studento</w:t>
            </w:r>
            <w:r w:rsidR="00BF27DB" w:rsidRPr="00F75909">
              <w:t xml:space="preserve"> studijų mobilumas </w:t>
            </w:r>
            <w:r w:rsidR="00BF27DB" w:rsidRPr="00F75909">
              <w:rPr>
                <w:u w:val="single"/>
              </w:rPr>
              <w:t xml:space="preserve">turi būti aprašytas </w:t>
            </w:r>
            <w:r w:rsidR="00820E07" w:rsidRPr="00820E07">
              <w:rPr>
                <w:u w:val="single"/>
              </w:rPr>
              <w:t xml:space="preserve">ir nurodytas jam prašomas finansavimas </w:t>
            </w:r>
            <w:r w:rsidR="00BF27DB" w:rsidRPr="00F75909">
              <w:rPr>
                <w:u w:val="single"/>
              </w:rPr>
              <w:t>paraiškoje</w:t>
            </w:r>
            <w:r w:rsidR="00BF27DB" w:rsidRPr="00F75909">
              <w:t>.</w:t>
            </w:r>
          </w:p>
        </w:tc>
        <w:tc>
          <w:tcPr>
            <w:tcW w:w="4927" w:type="dxa"/>
          </w:tcPr>
          <w:p w14:paraId="51AB14FB" w14:textId="02755ED5" w:rsidR="00BF27DB" w:rsidRDefault="001655BA" w:rsidP="00B75990">
            <w:r>
              <w:t xml:space="preserve">Galimas </w:t>
            </w:r>
            <w:r w:rsidR="00BF27DB" w:rsidRPr="00F75909">
              <w:t xml:space="preserve">BA ir MA studijų finansavimas EDF ir DCI regionuose. Tačiau </w:t>
            </w:r>
            <w:r w:rsidR="00BF27DB" w:rsidRPr="00F75909">
              <w:rPr>
                <w:u w:val="single"/>
              </w:rPr>
              <w:t>išvykstančio studento</w:t>
            </w:r>
            <w:r w:rsidR="00BF27DB" w:rsidRPr="00F75909">
              <w:t xml:space="preserve"> studijų mobilumas </w:t>
            </w:r>
            <w:r w:rsidR="00BF27DB" w:rsidRPr="00F75909">
              <w:rPr>
                <w:u w:val="single"/>
              </w:rPr>
              <w:t>turi būti aprašytas</w:t>
            </w:r>
            <w:r w:rsidR="00820E07">
              <w:rPr>
                <w:u w:val="single"/>
              </w:rPr>
              <w:t xml:space="preserve"> ir nurodytas jam prašomas finansavimas</w:t>
            </w:r>
            <w:r w:rsidR="00BF27DB" w:rsidRPr="00F75909">
              <w:rPr>
                <w:u w:val="single"/>
              </w:rPr>
              <w:t xml:space="preserve"> paraiškoje</w:t>
            </w:r>
            <w:r w:rsidR="00BF27DB" w:rsidRPr="00F75909">
              <w:t>.</w:t>
            </w:r>
          </w:p>
          <w:p w14:paraId="2AC217BD" w14:textId="0FA209AE" w:rsidR="00BD7FD5" w:rsidRPr="00F75909" w:rsidRDefault="00313EF8" w:rsidP="00B75990">
            <w:r>
              <w:t>Mobilumas laikomas aprašytu/paprašytu, kuomet jis įtraukiamas į paraiškos biudžetą (net ir tuo atveju, kai tai yra „</w:t>
            </w:r>
            <w:proofErr w:type="spellStart"/>
            <w:r>
              <w:t>Zero</w:t>
            </w:r>
            <w:proofErr w:type="spellEnd"/>
            <w:r>
              <w:t xml:space="preserve"> </w:t>
            </w:r>
            <w:proofErr w:type="spellStart"/>
            <w:r>
              <w:t>Grant</w:t>
            </w:r>
            <w:proofErr w:type="spellEnd"/>
            <w:r>
              <w:t>“).</w:t>
            </w:r>
          </w:p>
        </w:tc>
      </w:tr>
      <w:tr w:rsidR="00BF27DB" w:rsidRPr="00F75909" w14:paraId="36B8633F" w14:textId="73157C68" w:rsidTr="00B75990">
        <w:tc>
          <w:tcPr>
            <w:tcW w:w="4927" w:type="dxa"/>
          </w:tcPr>
          <w:p w14:paraId="2A29B36E" w14:textId="6E6801FD" w:rsidR="00BF27DB" w:rsidRPr="00F75909" w:rsidRDefault="00BF27DB" w:rsidP="00B75990">
            <w:r w:rsidRPr="00F75909">
              <w:t xml:space="preserve">EK leidžia keisti mobilumo tipą, tačiau ESF lėšomis gali būti finansuotas </w:t>
            </w:r>
            <w:r w:rsidRPr="00F75909">
              <w:rPr>
                <w:u w:val="single"/>
              </w:rPr>
              <w:t>pakeistas mobilumo tipas</w:t>
            </w:r>
            <w:r w:rsidRPr="00F75909">
              <w:t xml:space="preserve"> tik su sąlyga, kad </w:t>
            </w:r>
            <w:r w:rsidRPr="00F75909">
              <w:rPr>
                <w:u w:val="single"/>
              </w:rPr>
              <w:t>paraiškoje</w:t>
            </w:r>
            <w:r w:rsidRPr="00F75909">
              <w:t xml:space="preserve"> </w:t>
            </w:r>
            <w:r w:rsidRPr="00F75909">
              <w:rPr>
                <w:u w:val="single"/>
              </w:rPr>
              <w:t>buvo prašytas</w:t>
            </w:r>
            <w:r w:rsidRPr="00F75909">
              <w:t xml:space="preserve"> išvykstančio studento studijų mobilumas patvirtintoje šalyje partnerėje.</w:t>
            </w:r>
          </w:p>
          <w:p w14:paraId="2D1FB44E" w14:textId="18D19C1F" w:rsidR="00BF27DB" w:rsidRPr="00F75909" w:rsidRDefault="00BF27DB" w:rsidP="00B75990"/>
        </w:tc>
        <w:tc>
          <w:tcPr>
            <w:tcW w:w="4927" w:type="dxa"/>
          </w:tcPr>
          <w:p w14:paraId="1373FE82" w14:textId="77777777" w:rsidR="00BF27DB" w:rsidRPr="00F75909" w:rsidRDefault="00BF27DB" w:rsidP="00B75990">
            <w:r w:rsidRPr="00F75909">
              <w:t xml:space="preserve">EK leidžia keisti mobilumo tipą, tačiau ESF lėšomis gali būti finansuotas </w:t>
            </w:r>
            <w:r w:rsidRPr="00F75909">
              <w:rPr>
                <w:u w:val="single"/>
              </w:rPr>
              <w:t>pakeistas mobilumo tipas</w:t>
            </w:r>
            <w:r w:rsidRPr="00F75909">
              <w:t xml:space="preserve"> tik su sąlyga, kad </w:t>
            </w:r>
            <w:r w:rsidRPr="00F75909">
              <w:rPr>
                <w:u w:val="single"/>
              </w:rPr>
              <w:t>paraiškoje buvo prašytas</w:t>
            </w:r>
            <w:r w:rsidRPr="00F75909">
              <w:t xml:space="preserve"> išvykstančio studento studijų mobilumas patvirtintoje šalyje partnerėje.</w:t>
            </w:r>
          </w:p>
          <w:p w14:paraId="3454DD3E" w14:textId="5A6C9A9A" w:rsidR="00BF27DB" w:rsidRPr="00F75909" w:rsidRDefault="00BF27DB" w:rsidP="00B75990"/>
        </w:tc>
        <w:tc>
          <w:tcPr>
            <w:tcW w:w="4927" w:type="dxa"/>
          </w:tcPr>
          <w:p w14:paraId="1A529E51" w14:textId="2D5AC021" w:rsidR="00BD7FD5" w:rsidRPr="00F75909" w:rsidRDefault="00942F51" w:rsidP="00B75990">
            <w:r>
              <w:t xml:space="preserve">Išvykstančių studentų mobilumas </w:t>
            </w:r>
            <w:r w:rsidR="001655BA">
              <w:t xml:space="preserve">100 proc. finansuojamas ESF lėšomis. </w:t>
            </w:r>
            <w:r>
              <w:t xml:space="preserve"> Tačiau </w:t>
            </w:r>
            <w:r w:rsidR="004A24DA">
              <w:t xml:space="preserve">MSI </w:t>
            </w:r>
            <w:r>
              <w:t xml:space="preserve">gali </w:t>
            </w:r>
            <w:r w:rsidR="001655BA">
              <w:t xml:space="preserve">Fondui </w:t>
            </w:r>
            <w:r w:rsidR="004A24DA">
              <w:t xml:space="preserve">pateikti prašymą oficialiu </w:t>
            </w:r>
            <w:r>
              <w:t xml:space="preserve">raštu </w:t>
            </w:r>
            <w:r w:rsidR="004A24DA">
              <w:t>dėl Fondo pritarimo</w:t>
            </w:r>
            <w:r>
              <w:t xml:space="preserve"> padidinti mobilumų skaičių (ir atitinkamai </w:t>
            </w:r>
            <w:r w:rsidR="004A24DA">
              <w:t xml:space="preserve">skirtą </w:t>
            </w:r>
            <w:r>
              <w:t>ESF lėšų sumą</w:t>
            </w:r>
            <w:r w:rsidR="004A24DA">
              <w:t>, patvirtintą lėšų panaudojimo sutartyje</w:t>
            </w:r>
            <w:r>
              <w:t xml:space="preserve">) į šalis, kurios paraiškoje buvo įvertintos kaip </w:t>
            </w:r>
            <w:r>
              <w:lastRenderedPageBreak/>
              <w:t>kokybiškos ir paraiškoje buvo prašyta išvykstančių studentų mobilumų (SMS).</w:t>
            </w:r>
          </w:p>
        </w:tc>
      </w:tr>
      <w:tr w:rsidR="00BF27DB" w:rsidRPr="00F75909" w14:paraId="3FA0BB0B" w14:textId="6E9038B4" w:rsidTr="00B75990">
        <w:tc>
          <w:tcPr>
            <w:tcW w:w="4927" w:type="dxa"/>
          </w:tcPr>
          <w:p w14:paraId="623CC561" w14:textId="77777777" w:rsidR="00BF27DB" w:rsidRDefault="00BF27DB" w:rsidP="00B75990">
            <w:pPr>
              <w:jc w:val="center"/>
              <w:rPr>
                <w:b/>
              </w:rPr>
            </w:pPr>
          </w:p>
          <w:p w14:paraId="506D0024" w14:textId="77777777" w:rsidR="00BF27DB" w:rsidRDefault="00BF27DB" w:rsidP="00B75990">
            <w:pPr>
              <w:jc w:val="center"/>
              <w:rPr>
                <w:b/>
              </w:rPr>
            </w:pPr>
          </w:p>
          <w:p w14:paraId="00AB401F" w14:textId="77777777" w:rsidR="00BF27DB" w:rsidRDefault="00BF27DB" w:rsidP="00B75990">
            <w:pPr>
              <w:jc w:val="center"/>
              <w:rPr>
                <w:b/>
              </w:rPr>
            </w:pPr>
          </w:p>
          <w:p w14:paraId="5AC44BEA" w14:textId="57B8A91E" w:rsidR="00BF27DB" w:rsidRPr="00F75909" w:rsidRDefault="00BF27DB" w:rsidP="00B759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27" w:type="dxa"/>
          </w:tcPr>
          <w:p w14:paraId="02040813" w14:textId="77777777" w:rsidR="00BF27DB" w:rsidRPr="00F75909" w:rsidRDefault="00BF27DB" w:rsidP="00B75990">
            <w:pPr>
              <w:rPr>
                <w:u w:val="single"/>
              </w:rPr>
            </w:pPr>
            <w:r w:rsidRPr="00F75909">
              <w:rPr>
                <w:u w:val="single"/>
              </w:rPr>
              <w:t>Laisvas lėšų perkėlimas tarp šalių.</w:t>
            </w:r>
          </w:p>
          <w:p w14:paraId="37A13CA8" w14:textId="2CDDFC0A" w:rsidR="00BF27DB" w:rsidRPr="00F75909" w:rsidRDefault="00BF27DB" w:rsidP="00B75990">
            <w:pPr>
              <w:rPr>
                <w:b/>
              </w:rPr>
            </w:pPr>
            <w:r w:rsidRPr="00F75909">
              <w:t xml:space="preserve">Neįgyvendinus išvykstančio studento studijų mobilumo šalyje, kuri buvo nurodyta rašte, dėl ESF lėšų skyrimo, MSI turi teisę organizuoti mobilumą į kitą šalį, patvirtintą tų metų EK sutartyje </w:t>
            </w:r>
            <w:r w:rsidRPr="00F75909">
              <w:rPr>
                <w:u w:val="single"/>
              </w:rPr>
              <w:t>su sąlyga, kad paraiškoje buvo prašytas išvykstančio studento studijų mobilumas</w:t>
            </w:r>
            <w:r w:rsidRPr="00F75909">
              <w:t>.</w:t>
            </w:r>
          </w:p>
        </w:tc>
        <w:tc>
          <w:tcPr>
            <w:tcW w:w="4927" w:type="dxa"/>
          </w:tcPr>
          <w:p w14:paraId="1E101A88" w14:textId="69C88D5A" w:rsidR="00BF27DB" w:rsidRPr="00F75909" w:rsidRDefault="004A24DA" w:rsidP="00B75990">
            <w:pPr>
              <w:rPr>
                <w:u w:val="single"/>
              </w:rPr>
            </w:pPr>
            <w:r>
              <w:rPr>
                <w:u w:val="single"/>
              </w:rPr>
              <w:t>Galimas</w:t>
            </w:r>
            <w:r w:rsidRPr="00F75909">
              <w:rPr>
                <w:u w:val="single"/>
              </w:rPr>
              <w:t xml:space="preserve"> </w:t>
            </w:r>
            <w:r w:rsidR="00BF27DB" w:rsidRPr="00F75909">
              <w:rPr>
                <w:u w:val="single"/>
              </w:rPr>
              <w:t>lėšų perkėlimas tarp šalių.</w:t>
            </w:r>
          </w:p>
          <w:p w14:paraId="05EA29A9" w14:textId="39B6EA89" w:rsidR="00BF27DB" w:rsidRDefault="00BF27DB" w:rsidP="00B75990">
            <w:r w:rsidRPr="00F75909">
              <w:t>Neįgyvendinus išvykstančio studento studijų mobilumo šalyje, kuri buvo nurodyta</w:t>
            </w:r>
            <w:r w:rsidR="009E6D23">
              <w:t xml:space="preserve"> </w:t>
            </w:r>
            <w:r w:rsidR="00942F51">
              <w:t>paraiškoje</w:t>
            </w:r>
            <w:r w:rsidRPr="00F75909">
              <w:t xml:space="preserve">, MSI turi teisę organizuoti mobilumą į kitą šalį, </w:t>
            </w:r>
            <w:r w:rsidRPr="00F75909">
              <w:rPr>
                <w:u w:val="single"/>
              </w:rPr>
              <w:t>su sąlyga, kad paraiškoje buvo prašytas išvykstančio studento studijų mobilumas</w:t>
            </w:r>
            <w:r w:rsidR="00942F51">
              <w:rPr>
                <w:u w:val="single"/>
              </w:rPr>
              <w:t xml:space="preserve"> į šią šalį</w:t>
            </w:r>
            <w:r w:rsidRPr="00F75909">
              <w:t>.</w:t>
            </w:r>
          </w:p>
          <w:p w14:paraId="2DDC42D5" w14:textId="249449AB" w:rsidR="00BD7FD5" w:rsidRPr="00F75909" w:rsidRDefault="00BD7FD5" w:rsidP="00B75990">
            <w:pPr>
              <w:rPr>
                <w:u w:val="single"/>
              </w:rPr>
            </w:pPr>
            <w:r>
              <w:rPr>
                <w:u w:val="single"/>
              </w:rPr>
              <w:t>Galima didinti mobilum</w:t>
            </w:r>
            <w:r w:rsidR="00942F51">
              <w:rPr>
                <w:u w:val="single"/>
              </w:rPr>
              <w:t>ų</w:t>
            </w:r>
            <w:r>
              <w:rPr>
                <w:u w:val="single"/>
              </w:rPr>
              <w:t xml:space="preserve"> skaičių, iš anksto suderinus su Fondu ir atlikus ESF lėšų sutarties keitimą.</w:t>
            </w:r>
          </w:p>
        </w:tc>
      </w:tr>
      <w:tr w:rsidR="00BF27DB" w:rsidRPr="00F75909" w14:paraId="740076EF" w14:textId="75FCBF84" w:rsidTr="00B75990">
        <w:tc>
          <w:tcPr>
            <w:tcW w:w="4927" w:type="dxa"/>
          </w:tcPr>
          <w:p w14:paraId="645E553E" w14:textId="77777777" w:rsidR="00BF27DB" w:rsidRPr="001D65DB" w:rsidRDefault="00BF27DB" w:rsidP="00B75990">
            <w:pPr>
              <w:pStyle w:val="ListParagraph"/>
              <w:numPr>
                <w:ilvl w:val="0"/>
                <w:numId w:val="14"/>
              </w:numPr>
            </w:pPr>
            <w:r w:rsidRPr="00F75909">
              <w:t xml:space="preserve">Ataskaitos teikiamos iki einamojo mėnesio 15 dienos, jeigu yra deklaruojamų naujų studentų mobilumų; </w:t>
            </w:r>
          </w:p>
          <w:p w14:paraId="2FE1BAF9" w14:textId="16A9A85C" w:rsidR="00BF27DB" w:rsidRPr="00F75909" w:rsidRDefault="00BF27DB" w:rsidP="00B75990">
            <w:pPr>
              <w:pStyle w:val="ListParagraph"/>
              <w:numPr>
                <w:ilvl w:val="0"/>
                <w:numId w:val="14"/>
              </w:numPr>
            </w:pPr>
            <w:r w:rsidRPr="00F75909">
              <w:t>teikiamos tik už pasibaigusius mobilumus, išmokėjus stipendijas 100 proc., užpildž</w:t>
            </w:r>
            <w:r>
              <w:t>ius visus ataskaitos dokumentus.</w:t>
            </w:r>
          </w:p>
        </w:tc>
        <w:tc>
          <w:tcPr>
            <w:tcW w:w="4927" w:type="dxa"/>
          </w:tcPr>
          <w:p w14:paraId="025B9582" w14:textId="77777777" w:rsidR="00BF27DB" w:rsidRPr="001D65DB" w:rsidRDefault="00BF27DB" w:rsidP="00B75990">
            <w:pPr>
              <w:pStyle w:val="ListParagraph"/>
              <w:numPr>
                <w:ilvl w:val="0"/>
                <w:numId w:val="14"/>
              </w:numPr>
            </w:pPr>
            <w:r w:rsidRPr="00F75909">
              <w:t xml:space="preserve">Ataskaitos teikiamos iki einamojo mėnesio 15 dienos, jeigu yra deklaruojamų naujų studentų mobilumų; </w:t>
            </w:r>
          </w:p>
          <w:p w14:paraId="01CEC24B" w14:textId="1D9C77B9" w:rsidR="00BF27DB" w:rsidRPr="00F75909" w:rsidRDefault="00BF27DB" w:rsidP="00B75990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F75909">
              <w:t>teikiamos tik už pasibaigusius mobilumus, išmokėjus stipendijas 100 proc., užpildž</w:t>
            </w:r>
            <w:r>
              <w:t>ius visus ataskaitos dokumentus.</w:t>
            </w:r>
          </w:p>
        </w:tc>
        <w:tc>
          <w:tcPr>
            <w:tcW w:w="4927" w:type="dxa"/>
          </w:tcPr>
          <w:p w14:paraId="4AA54990" w14:textId="77777777" w:rsidR="003225CD" w:rsidRDefault="00BF27DB" w:rsidP="00B75990">
            <w:r w:rsidRPr="00F75909">
              <w:t>Ataskaitos teikiamos</w:t>
            </w:r>
            <w:r w:rsidR="003225CD">
              <w:t>:</w:t>
            </w:r>
          </w:p>
          <w:p w14:paraId="29A984FD" w14:textId="000BA2B9" w:rsidR="00BF27DB" w:rsidRPr="001D65DB" w:rsidRDefault="00BF27DB" w:rsidP="00B75990">
            <w:pPr>
              <w:pStyle w:val="ListParagraph"/>
              <w:numPr>
                <w:ilvl w:val="0"/>
                <w:numId w:val="14"/>
              </w:numPr>
            </w:pPr>
            <w:r w:rsidRPr="00F75909">
              <w:t xml:space="preserve">iki einamojo mėnesio 15 dienos, jeigu yra deklaruojamų naujų studentų mobilumų; </w:t>
            </w:r>
          </w:p>
          <w:p w14:paraId="7C4C187F" w14:textId="59D3637C" w:rsidR="00BF27DB" w:rsidRPr="00F75909" w:rsidRDefault="00BF27DB" w:rsidP="00B75990">
            <w:pPr>
              <w:pStyle w:val="ListParagraph"/>
              <w:numPr>
                <w:ilvl w:val="0"/>
                <w:numId w:val="14"/>
              </w:numPr>
            </w:pPr>
            <w:r w:rsidRPr="00F75909">
              <w:t>tik už pasibaigusius mobilumus, išmokėjus stipendijas 100 proc., užpildž</w:t>
            </w:r>
            <w:r>
              <w:t>ius visus ataskaitos dokumentus.</w:t>
            </w:r>
          </w:p>
        </w:tc>
      </w:tr>
      <w:tr w:rsidR="00BF27DB" w:rsidRPr="00F75909" w14:paraId="506B43FD" w14:textId="0E54AF8F" w:rsidTr="00B75990">
        <w:tc>
          <w:tcPr>
            <w:tcW w:w="4927" w:type="dxa"/>
          </w:tcPr>
          <w:p w14:paraId="1377952A" w14:textId="4D8AEDC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 xml:space="preserve">Visi ESF lėšomis finansuojami mobilumo dalyviai turi būti deklaruojami </w:t>
            </w:r>
            <w:r w:rsidR="009E6D23">
              <w:t>„</w:t>
            </w:r>
            <w:r w:rsidRPr="00F75909">
              <w:t xml:space="preserve">Mobility </w:t>
            </w:r>
            <w:proofErr w:type="spellStart"/>
            <w:r w:rsidRPr="00F75909">
              <w:t>Tool</w:t>
            </w:r>
            <w:proofErr w:type="spellEnd"/>
            <w:r w:rsidRPr="00F75909">
              <w:t>+</w:t>
            </w:r>
            <w:r w:rsidR="009E6D23">
              <w:t>“</w:t>
            </w:r>
            <w:r w:rsidRPr="00F75909">
              <w:t xml:space="preserve"> sistemoje;</w:t>
            </w:r>
          </w:p>
          <w:p w14:paraId="012D612F" w14:textId="7777777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stipendijos suma, paskaičiuota pagal MT+ skaičiuoklę, nurodoma laukelyje „</w:t>
            </w:r>
            <w:proofErr w:type="spellStart"/>
            <w:r w:rsidRPr="00F75909">
              <w:t>Additional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Non</w:t>
            </w:r>
            <w:proofErr w:type="spellEnd"/>
            <w:r w:rsidRPr="00F75909">
              <w:t xml:space="preserve">-EU </w:t>
            </w:r>
            <w:proofErr w:type="spellStart"/>
            <w:r w:rsidRPr="00F75909">
              <w:t>Grant</w:t>
            </w:r>
            <w:proofErr w:type="spellEnd"/>
            <w:r w:rsidRPr="00F75909">
              <w:t>“;</w:t>
            </w:r>
          </w:p>
          <w:p w14:paraId="44F5FA47" w14:textId="7777777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pažymimas pasirinkimas „</w:t>
            </w:r>
            <w:proofErr w:type="spellStart"/>
            <w:r w:rsidRPr="00F75909">
              <w:t>Zero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grant</w:t>
            </w:r>
            <w:proofErr w:type="spellEnd"/>
            <w:r w:rsidRPr="00F75909">
              <w:t>“;</w:t>
            </w:r>
          </w:p>
          <w:p w14:paraId="3E52109D" w14:textId="77159F41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laukelyje „</w:t>
            </w:r>
            <w:proofErr w:type="spellStart"/>
            <w:r w:rsidRPr="00F75909">
              <w:t>Overall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Comments</w:t>
            </w:r>
            <w:proofErr w:type="spellEnd"/>
            <w:r w:rsidRPr="00F75909">
              <w:t>“ būtina įrašyti „2017 ESF“, „2018 ESF“ (metai nurodomi pagal skirtų ES</w:t>
            </w:r>
            <w:r>
              <w:t>F lėšų sutarties sąmatos metus).</w:t>
            </w:r>
          </w:p>
        </w:tc>
        <w:tc>
          <w:tcPr>
            <w:tcW w:w="4927" w:type="dxa"/>
          </w:tcPr>
          <w:p w14:paraId="5FA2AE67" w14:textId="0C1AB072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 xml:space="preserve">Visi ESF lėšomis finansuojami mobilumo dalyviai turi būti deklaruojami </w:t>
            </w:r>
            <w:r w:rsidR="009E6D23">
              <w:t>„</w:t>
            </w:r>
            <w:r w:rsidRPr="00F75909">
              <w:t xml:space="preserve">Mobility </w:t>
            </w:r>
            <w:proofErr w:type="spellStart"/>
            <w:r w:rsidRPr="00F75909">
              <w:t>Tool</w:t>
            </w:r>
            <w:proofErr w:type="spellEnd"/>
            <w:r w:rsidRPr="00F75909">
              <w:t>+</w:t>
            </w:r>
            <w:r w:rsidR="009E6D23">
              <w:t>“</w:t>
            </w:r>
            <w:r w:rsidRPr="00F75909">
              <w:t xml:space="preserve"> sistemoje;</w:t>
            </w:r>
          </w:p>
          <w:p w14:paraId="7F09986E" w14:textId="7777777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stipendijos suma, paskaičiuota pagal MT+ skaičiuoklę, nurodoma laukelyje „</w:t>
            </w:r>
            <w:proofErr w:type="spellStart"/>
            <w:r w:rsidRPr="00F75909">
              <w:t>Additional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Non</w:t>
            </w:r>
            <w:proofErr w:type="spellEnd"/>
            <w:r w:rsidRPr="00F75909">
              <w:t xml:space="preserve">-EU </w:t>
            </w:r>
            <w:proofErr w:type="spellStart"/>
            <w:r w:rsidRPr="00F75909">
              <w:t>Grant</w:t>
            </w:r>
            <w:proofErr w:type="spellEnd"/>
            <w:r w:rsidRPr="00F75909">
              <w:t>“;</w:t>
            </w:r>
          </w:p>
          <w:p w14:paraId="2E29AD32" w14:textId="7777777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pažymimas pasirinkimas „</w:t>
            </w:r>
            <w:proofErr w:type="spellStart"/>
            <w:r w:rsidRPr="00F75909">
              <w:t>Zero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grant</w:t>
            </w:r>
            <w:proofErr w:type="spellEnd"/>
            <w:r w:rsidRPr="00F75909">
              <w:t>“;</w:t>
            </w:r>
          </w:p>
          <w:p w14:paraId="6D54270E" w14:textId="7BD66941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laukelyje „</w:t>
            </w:r>
            <w:proofErr w:type="spellStart"/>
            <w:r w:rsidRPr="00F75909">
              <w:t>Overall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Comments</w:t>
            </w:r>
            <w:proofErr w:type="spellEnd"/>
            <w:r w:rsidRPr="00F75909">
              <w:t>“ būtina įrašyti „201</w:t>
            </w:r>
            <w:r w:rsidR="002C5E0E">
              <w:t>9</w:t>
            </w:r>
            <w:r w:rsidRPr="00F75909">
              <w:t xml:space="preserve"> ESF“ (metai nurodomi pagal skirtų ES</w:t>
            </w:r>
            <w:r>
              <w:t>F lėšų sutarties sąmatos metus).</w:t>
            </w:r>
          </w:p>
        </w:tc>
        <w:tc>
          <w:tcPr>
            <w:tcW w:w="4927" w:type="dxa"/>
          </w:tcPr>
          <w:p w14:paraId="5CB1C296" w14:textId="497D3045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 xml:space="preserve">Visi ESF lėšomis finansuojami mobilumo dalyviai turi būti deklaruojami </w:t>
            </w:r>
            <w:r w:rsidR="009E6D23">
              <w:t>„</w:t>
            </w:r>
            <w:r w:rsidRPr="00F75909">
              <w:t xml:space="preserve">Mobility </w:t>
            </w:r>
            <w:proofErr w:type="spellStart"/>
            <w:r w:rsidRPr="00F75909">
              <w:t>Tool</w:t>
            </w:r>
            <w:proofErr w:type="spellEnd"/>
            <w:r w:rsidRPr="00F75909">
              <w:t>+</w:t>
            </w:r>
            <w:r w:rsidR="009E6D23">
              <w:t>“</w:t>
            </w:r>
            <w:r w:rsidRPr="00F75909">
              <w:t xml:space="preserve"> sistemoje;</w:t>
            </w:r>
          </w:p>
          <w:p w14:paraId="2A82DE4B" w14:textId="48E0214B" w:rsidR="00BF27DB" w:rsidRPr="00F75909" w:rsidRDefault="003225CD" w:rsidP="00B75990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BF27DB" w:rsidRPr="00F75909">
              <w:t>tipendijos suma, paskaičiuota pagal MT+ skaičiuoklę, nurodoma laukelyje „</w:t>
            </w:r>
            <w:proofErr w:type="spellStart"/>
            <w:r w:rsidR="00BF27DB" w:rsidRPr="00F75909">
              <w:t>Additional</w:t>
            </w:r>
            <w:proofErr w:type="spellEnd"/>
            <w:r w:rsidR="00BF27DB" w:rsidRPr="00F75909">
              <w:t xml:space="preserve"> </w:t>
            </w:r>
            <w:proofErr w:type="spellStart"/>
            <w:r w:rsidR="00BF27DB" w:rsidRPr="00F75909">
              <w:t>Non</w:t>
            </w:r>
            <w:proofErr w:type="spellEnd"/>
            <w:r w:rsidR="00BF27DB" w:rsidRPr="00F75909">
              <w:t xml:space="preserve">-EU </w:t>
            </w:r>
            <w:proofErr w:type="spellStart"/>
            <w:r w:rsidR="00BF27DB" w:rsidRPr="00F75909">
              <w:t>Grant</w:t>
            </w:r>
            <w:proofErr w:type="spellEnd"/>
            <w:r w:rsidR="00BF27DB" w:rsidRPr="00F75909">
              <w:t>“;</w:t>
            </w:r>
          </w:p>
          <w:p w14:paraId="7996A900" w14:textId="77777777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pažymimas pasirinkimas „</w:t>
            </w:r>
            <w:proofErr w:type="spellStart"/>
            <w:r w:rsidRPr="00F75909">
              <w:t>Zero</w:t>
            </w:r>
            <w:proofErr w:type="spellEnd"/>
            <w:r w:rsidRPr="00F75909">
              <w:t xml:space="preserve"> </w:t>
            </w:r>
            <w:proofErr w:type="spellStart"/>
            <w:r w:rsidRPr="00F75909">
              <w:t>grant</w:t>
            </w:r>
            <w:proofErr w:type="spellEnd"/>
            <w:r w:rsidRPr="00F75909">
              <w:t>“;</w:t>
            </w:r>
          </w:p>
          <w:p w14:paraId="61DFB852" w14:textId="6B90CECF" w:rsidR="00BF27DB" w:rsidRPr="00F75909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laukelyje „</w:t>
            </w:r>
            <w:proofErr w:type="spellStart"/>
            <w:r w:rsidRPr="00F75909">
              <w:t>Overal</w:t>
            </w:r>
            <w:r w:rsidR="00041182">
              <w:t>l</w:t>
            </w:r>
            <w:proofErr w:type="spellEnd"/>
            <w:r w:rsidR="00041182">
              <w:t xml:space="preserve"> </w:t>
            </w:r>
            <w:proofErr w:type="spellStart"/>
            <w:r w:rsidR="00041182">
              <w:t>Comments</w:t>
            </w:r>
            <w:proofErr w:type="spellEnd"/>
            <w:r w:rsidR="00041182">
              <w:t>“ būtina įrašyti „2020</w:t>
            </w:r>
            <w:r w:rsidRPr="00F75909">
              <w:t xml:space="preserve"> ESF“ (metai nurodomi pagal skirtų ES</w:t>
            </w:r>
            <w:r>
              <w:t>F lėšų sutarties sąmatos metus).</w:t>
            </w:r>
          </w:p>
        </w:tc>
      </w:tr>
      <w:tr w:rsidR="00BF27DB" w14:paraId="3E71F63D" w14:textId="5EAF048B" w:rsidTr="00B75990">
        <w:tc>
          <w:tcPr>
            <w:tcW w:w="4927" w:type="dxa"/>
          </w:tcPr>
          <w:p w14:paraId="51C15F72" w14:textId="697D5077" w:rsidR="00BF27DB" w:rsidRPr="00F75909" w:rsidRDefault="00BF27DB" w:rsidP="00B75990">
            <w:r w:rsidRPr="00F75909">
              <w:t>SVARBU: išvykstančio studento mobilumas gali būti finansuojamas tik iš vieno finansavimo šaltinio (EK arba ESF).</w:t>
            </w:r>
          </w:p>
        </w:tc>
        <w:tc>
          <w:tcPr>
            <w:tcW w:w="4927" w:type="dxa"/>
          </w:tcPr>
          <w:p w14:paraId="63685432" w14:textId="77777777" w:rsidR="00BD7FD5" w:rsidRDefault="00BF27DB" w:rsidP="00B75990">
            <w:r w:rsidRPr="00F75909">
              <w:t xml:space="preserve">SVARBU: </w:t>
            </w:r>
          </w:p>
          <w:p w14:paraId="7014546D" w14:textId="6595A3A1" w:rsidR="00BF27DB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>išvykstančio studento mobilumas gali būti finansuojamas tik iš vieno finansavimo šaltinio (EK arba ESF).</w:t>
            </w:r>
          </w:p>
          <w:p w14:paraId="02778690" w14:textId="1C835662" w:rsidR="00BF27DB" w:rsidRPr="0015207D" w:rsidRDefault="00BD7FD5" w:rsidP="00B75990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Studento mobilumas iš ESF lėšų finansuojamas tik vieną kartą visos ESF lėšų sutarties įgyvendinimo laikotarpiu. </w:t>
            </w:r>
          </w:p>
        </w:tc>
        <w:tc>
          <w:tcPr>
            <w:tcW w:w="4927" w:type="dxa"/>
          </w:tcPr>
          <w:p w14:paraId="21077156" w14:textId="77777777" w:rsidR="00BD7FD5" w:rsidRDefault="00BF27DB" w:rsidP="00B75990">
            <w:r w:rsidRPr="00F75909">
              <w:t xml:space="preserve">SVARBU: </w:t>
            </w:r>
          </w:p>
          <w:p w14:paraId="267B669A" w14:textId="4DF5852B" w:rsidR="00BF27DB" w:rsidRDefault="00BF27DB" w:rsidP="00B75990">
            <w:pPr>
              <w:pStyle w:val="ListParagraph"/>
              <w:numPr>
                <w:ilvl w:val="0"/>
                <w:numId w:val="13"/>
              </w:numPr>
            </w:pPr>
            <w:r w:rsidRPr="00F75909">
              <w:t xml:space="preserve">išvykstančio studento mobilumas gali būti finansuojamas </w:t>
            </w:r>
            <w:r w:rsidRPr="00BD7FD5">
              <w:rPr>
                <w:u w:val="single"/>
              </w:rPr>
              <w:t>tik iš vieno</w:t>
            </w:r>
            <w:r w:rsidRPr="00F75909">
              <w:t xml:space="preserve"> finansavimo šaltinio (EK arba ESF).</w:t>
            </w:r>
          </w:p>
          <w:p w14:paraId="7B4E31C4" w14:textId="55A73CBC" w:rsidR="00BF27DB" w:rsidRPr="00F75909" w:rsidRDefault="00BD7FD5" w:rsidP="009E6D23">
            <w:pPr>
              <w:pStyle w:val="ListParagraph"/>
              <w:numPr>
                <w:ilvl w:val="0"/>
                <w:numId w:val="13"/>
              </w:numPr>
            </w:pPr>
            <w:r>
              <w:t>Studento mobilumas iš ESF lėšų finansuojamas tik vieną kartą visos ESF lėšų sutarties įgyvendinimo laikotarpiu</w:t>
            </w:r>
            <w:r w:rsidR="004A24DA">
              <w:t xml:space="preserve"> (2017</w:t>
            </w:r>
            <w:r w:rsidR="009E6D23">
              <w:t>–</w:t>
            </w:r>
            <w:r w:rsidR="004A24DA">
              <w:t>202</w:t>
            </w:r>
            <w:r w:rsidR="001D65DB">
              <w:t>3</w:t>
            </w:r>
            <w:r w:rsidR="004A24DA">
              <w:t xml:space="preserve"> m.)</w:t>
            </w:r>
            <w:r>
              <w:t xml:space="preserve">. </w:t>
            </w:r>
          </w:p>
        </w:tc>
      </w:tr>
    </w:tbl>
    <w:p w14:paraId="15C52B3D" w14:textId="1B75C39F" w:rsidR="00A40124" w:rsidRPr="001D65DB" w:rsidRDefault="00A40124" w:rsidP="00EC424E">
      <w:pPr>
        <w:rPr>
          <w:b/>
        </w:rPr>
      </w:pPr>
    </w:p>
    <w:p w14:paraId="1240D00A" w14:textId="77777777" w:rsidR="00A40124" w:rsidRPr="00DC666C" w:rsidRDefault="00A40124" w:rsidP="00EC424E">
      <w:pPr>
        <w:rPr>
          <w:b/>
        </w:rPr>
      </w:pPr>
    </w:p>
    <w:sectPr w:rsidR="00A40124" w:rsidRPr="00DC666C" w:rsidSect="00BF27DB">
      <w:headerReference w:type="default" r:id="rId8"/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A5CE" w14:textId="77777777" w:rsidR="006D5A13" w:rsidRDefault="006D5A13" w:rsidP="00BB5510">
      <w:pPr>
        <w:spacing w:after="0" w:line="240" w:lineRule="auto"/>
      </w:pPr>
      <w:r>
        <w:separator/>
      </w:r>
    </w:p>
  </w:endnote>
  <w:endnote w:type="continuationSeparator" w:id="0">
    <w:p w14:paraId="00F6DA03" w14:textId="77777777" w:rsidR="006D5A13" w:rsidRDefault="006D5A13" w:rsidP="00B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7E68" w14:textId="77777777" w:rsidR="006D5A13" w:rsidRDefault="006D5A13" w:rsidP="00BB5510">
      <w:pPr>
        <w:spacing w:after="0" w:line="240" w:lineRule="auto"/>
      </w:pPr>
      <w:r>
        <w:separator/>
      </w:r>
    </w:p>
  </w:footnote>
  <w:footnote w:type="continuationSeparator" w:id="0">
    <w:p w14:paraId="0BFB3857" w14:textId="77777777" w:rsidR="006D5A13" w:rsidRDefault="006D5A13" w:rsidP="00BB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2871" w14:textId="136EF388" w:rsidR="00BB5510" w:rsidRDefault="00BB5510">
    <w:pPr>
      <w:pStyle w:val="Header"/>
    </w:pPr>
    <w:r>
      <w:t>Versija 1.</w:t>
    </w:r>
    <w:r w:rsidR="00C34299">
      <w:t>4</w:t>
    </w:r>
    <w:r>
      <w:t>.</w:t>
    </w:r>
    <w:r w:rsidR="00C34299">
      <w:t>1.</w:t>
    </w:r>
  </w:p>
  <w:p w14:paraId="69A88165" w14:textId="77777777" w:rsidR="00BB5510" w:rsidRDefault="00BB5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BB"/>
    <w:multiLevelType w:val="hybridMultilevel"/>
    <w:tmpl w:val="90302BF0"/>
    <w:lvl w:ilvl="0" w:tplc="2424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4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8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A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43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07D51"/>
    <w:multiLevelType w:val="hybridMultilevel"/>
    <w:tmpl w:val="26BEA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23A"/>
    <w:multiLevelType w:val="hybridMultilevel"/>
    <w:tmpl w:val="55F63ECC"/>
    <w:lvl w:ilvl="0" w:tplc="6EAAE74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6F6D4E"/>
    <w:multiLevelType w:val="hybridMultilevel"/>
    <w:tmpl w:val="4BAA50DA"/>
    <w:lvl w:ilvl="0" w:tplc="0382E1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0013D8"/>
    <w:multiLevelType w:val="hybridMultilevel"/>
    <w:tmpl w:val="5B74D2E6"/>
    <w:lvl w:ilvl="0" w:tplc="8A80E13C">
      <w:start w:val="1"/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1F7D78"/>
    <w:multiLevelType w:val="hybridMultilevel"/>
    <w:tmpl w:val="9274DDE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F40"/>
    <w:multiLevelType w:val="hybridMultilevel"/>
    <w:tmpl w:val="41C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851"/>
    <w:multiLevelType w:val="hybridMultilevel"/>
    <w:tmpl w:val="82D21684"/>
    <w:lvl w:ilvl="0" w:tplc="367A42B4">
      <w:start w:val="1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F200BD5"/>
    <w:multiLevelType w:val="hybridMultilevel"/>
    <w:tmpl w:val="5DCE4166"/>
    <w:lvl w:ilvl="0" w:tplc="1CB2280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33165E"/>
    <w:multiLevelType w:val="hybridMultilevel"/>
    <w:tmpl w:val="99C4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1D3D"/>
    <w:multiLevelType w:val="hybridMultilevel"/>
    <w:tmpl w:val="C7A45734"/>
    <w:lvl w:ilvl="0" w:tplc="2F44A9E0">
      <w:start w:val="2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63F2C7C"/>
    <w:multiLevelType w:val="hybridMultilevel"/>
    <w:tmpl w:val="66565B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5200DE8"/>
    <w:multiLevelType w:val="hybridMultilevel"/>
    <w:tmpl w:val="BCD60C54"/>
    <w:lvl w:ilvl="0" w:tplc="2F44A9E0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C5B026C"/>
    <w:multiLevelType w:val="hybridMultilevel"/>
    <w:tmpl w:val="3684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5"/>
    <w:rsid w:val="00010A6F"/>
    <w:rsid w:val="000112C6"/>
    <w:rsid w:val="0001141D"/>
    <w:rsid w:val="0001712B"/>
    <w:rsid w:val="00027672"/>
    <w:rsid w:val="00041182"/>
    <w:rsid w:val="00054B27"/>
    <w:rsid w:val="00086712"/>
    <w:rsid w:val="000A7CC5"/>
    <w:rsid w:val="000C0751"/>
    <w:rsid w:val="000F75FC"/>
    <w:rsid w:val="00106724"/>
    <w:rsid w:val="00136E2A"/>
    <w:rsid w:val="0015207D"/>
    <w:rsid w:val="001655BA"/>
    <w:rsid w:val="00177C19"/>
    <w:rsid w:val="00183226"/>
    <w:rsid w:val="00191F18"/>
    <w:rsid w:val="00195039"/>
    <w:rsid w:val="001C44FE"/>
    <w:rsid w:val="001C6AD5"/>
    <w:rsid w:val="001D45F0"/>
    <w:rsid w:val="001D4ECC"/>
    <w:rsid w:val="001D65DB"/>
    <w:rsid w:val="00221573"/>
    <w:rsid w:val="002234D1"/>
    <w:rsid w:val="002308EE"/>
    <w:rsid w:val="00244433"/>
    <w:rsid w:val="002513D1"/>
    <w:rsid w:val="002706E2"/>
    <w:rsid w:val="00281782"/>
    <w:rsid w:val="00293A26"/>
    <w:rsid w:val="00293F5E"/>
    <w:rsid w:val="002B0215"/>
    <w:rsid w:val="002C5E0E"/>
    <w:rsid w:val="002E4A42"/>
    <w:rsid w:val="00301931"/>
    <w:rsid w:val="003108F5"/>
    <w:rsid w:val="00313EF8"/>
    <w:rsid w:val="003225CD"/>
    <w:rsid w:val="003730BB"/>
    <w:rsid w:val="0039501F"/>
    <w:rsid w:val="00397D26"/>
    <w:rsid w:val="003A6AE5"/>
    <w:rsid w:val="003B2578"/>
    <w:rsid w:val="003F390D"/>
    <w:rsid w:val="00410A4D"/>
    <w:rsid w:val="00411A4F"/>
    <w:rsid w:val="004718ED"/>
    <w:rsid w:val="004A0AC8"/>
    <w:rsid w:val="004A24DA"/>
    <w:rsid w:val="004F51C9"/>
    <w:rsid w:val="004F60B4"/>
    <w:rsid w:val="005053F2"/>
    <w:rsid w:val="005064DE"/>
    <w:rsid w:val="00513B37"/>
    <w:rsid w:val="005327FC"/>
    <w:rsid w:val="00594A4E"/>
    <w:rsid w:val="005B5ED3"/>
    <w:rsid w:val="005D4C40"/>
    <w:rsid w:val="005E6272"/>
    <w:rsid w:val="006061C3"/>
    <w:rsid w:val="006127C7"/>
    <w:rsid w:val="0061415B"/>
    <w:rsid w:val="00637C5F"/>
    <w:rsid w:val="00685A52"/>
    <w:rsid w:val="006B3525"/>
    <w:rsid w:val="006C6FD2"/>
    <w:rsid w:val="006D5A13"/>
    <w:rsid w:val="006E2A83"/>
    <w:rsid w:val="007006E8"/>
    <w:rsid w:val="00797050"/>
    <w:rsid w:val="007C164F"/>
    <w:rsid w:val="007C7ABF"/>
    <w:rsid w:val="007D6408"/>
    <w:rsid w:val="007F1E8D"/>
    <w:rsid w:val="00805EC1"/>
    <w:rsid w:val="00813317"/>
    <w:rsid w:val="008178C8"/>
    <w:rsid w:val="00820E07"/>
    <w:rsid w:val="00864F39"/>
    <w:rsid w:val="008A6E26"/>
    <w:rsid w:val="008C5F11"/>
    <w:rsid w:val="0093675F"/>
    <w:rsid w:val="00942F51"/>
    <w:rsid w:val="00950602"/>
    <w:rsid w:val="00971B42"/>
    <w:rsid w:val="009839A6"/>
    <w:rsid w:val="009862DC"/>
    <w:rsid w:val="0099666B"/>
    <w:rsid w:val="009B2A94"/>
    <w:rsid w:val="009D6FAA"/>
    <w:rsid w:val="009E491C"/>
    <w:rsid w:val="009E6D23"/>
    <w:rsid w:val="00A006CD"/>
    <w:rsid w:val="00A30E64"/>
    <w:rsid w:val="00A36749"/>
    <w:rsid w:val="00A40124"/>
    <w:rsid w:val="00A725C1"/>
    <w:rsid w:val="00A82F79"/>
    <w:rsid w:val="00AE5DC9"/>
    <w:rsid w:val="00B2390D"/>
    <w:rsid w:val="00B42CDD"/>
    <w:rsid w:val="00B55A3B"/>
    <w:rsid w:val="00B75990"/>
    <w:rsid w:val="00BA5530"/>
    <w:rsid w:val="00BB5510"/>
    <w:rsid w:val="00BD166A"/>
    <w:rsid w:val="00BD7FD5"/>
    <w:rsid w:val="00BF27DB"/>
    <w:rsid w:val="00C01A4D"/>
    <w:rsid w:val="00C34299"/>
    <w:rsid w:val="00C4754B"/>
    <w:rsid w:val="00C541E2"/>
    <w:rsid w:val="00C61F5D"/>
    <w:rsid w:val="00C62F2C"/>
    <w:rsid w:val="00CA1090"/>
    <w:rsid w:val="00CA55E2"/>
    <w:rsid w:val="00CE4853"/>
    <w:rsid w:val="00D079B1"/>
    <w:rsid w:val="00D2560F"/>
    <w:rsid w:val="00D465C0"/>
    <w:rsid w:val="00D570BE"/>
    <w:rsid w:val="00D74A2F"/>
    <w:rsid w:val="00D96A84"/>
    <w:rsid w:val="00DC666C"/>
    <w:rsid w:val="00E13635"/>
    <w:rsid w:val="00E22FD3"/>
    <w:rsid w:val="00E9205E"/>
    <w:rsid w:val="00EB209A"/>
    <w:rsid w:val="00EC424E"/>
    <w:rsid w:val="00EC4A00"/>
    <w:rsid w:val="00ED4D0B"/>
    <w:rsid w:val="00F054E2"/>
    <w:rsid w:val="00F35B10"/>
    <w:rsid w:val="00F65113"/>
    <w:rsid w:val="00F75909"/>
    <w:rsid w:val="00F81B0C"/>
    <w:rsid w:val="00FA6D75"/>
    <w:rsid w:val="00FB2978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24D5"/>
  <w15:docId w15:val="{D993607E-5FC5-4BDF-8D26-47C07A0B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6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10"/>
  </w:style>
  <w:style w:type="paragraph" w:styleId="Footer">
    <w:name w:val="footer"/>
    <w:basedOn w:val="Normal"/>
    <w:link w:val="FooterChar"/>
    <w:uiPriority w:val="99"/>
    <w:unhideWhenUsed/>
    <w:rsid w:val="00BB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10"/>
  </w:style>
  <w:style w:type="table" w:styleId="TableGrid">
    <w:name w:val="Table Grid"/>
    <w:basedOn w:val="TableNormal"/>
    <w:uiPriority w:val="59"/>
    <w:rsid w:val="00A4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324">
          <w:marLeft w:val="619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1F0-3ACA-48CE-9DD1-2919D04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 Pieslikaite</dc:creator>
  <cp:lastModifiedBy>Vaiva Ružaitė</cp:lastModifiedBy>
  <cp:revision>14</cp:revision>
  <cp:lastPrinted>2019-01-09T11:55:00Z</cp:lastPrinted>
  <dcterms:created xsi:type="dcterms:W3CDTF">2020-06-29T13:05:00Z</dcterms:created>
  <dcterms:modified xsi:type="dcterms:W3CDTF">2020-06-30T06:49:00Z</dcterms:modified>
</cp:coreProperties>
</file>