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69EFC6" w14:textId="225FB176" w:rsidR="000E1202" w:rsidRPr="00C64A67" w:rsidRDefault="009E6FF7" w:rsidP="00366019">
      <w:pPr>
        <w:tabs>
          <w:tab w:val="left" w:pos="2955"/>
        </w:tabs>
        <w:spacing w:before="100" w:beforeAutospacing="1" w:after="100" w:afterAutospacing="1"/>
        <w:ind w:left="113"/>
        <w:jc w:val="center"/>
        <w:rPr>
          <w:rFonts w:ascii="Times New Roman" w:eastAsia="Times New Roman" w:hAnsi="Times New Roman" w:cs="Times New Roman"/>
          <w:b/>
          <w:sz w:val="24"/>
          <w:szCs w:val="24"/>
          <w:lang w:eastAsia="lt-LT"/>
        </w:rPr>
      </w:pPr>
      <w:r w:rsidRPr="00C64A67">
        <w:rPr>
          <w:rFonts w:ascii="Times New Roman" w:eastAsia="Times New Roman" w:hAnsi="Times New Roman" w:cs="Times New Roman"/>
          <w:b/>
          <w:sz w:val="24"/>
          <w:szCs w:val="24"/>
          <w:lang w:eastAsia="lt-LT"/>
        </w:rPr>
        <w:t xml:space="preserve">Dažniausiai užduodami klausimai ir atsakymai </w:t>
      </w:r>
      <w:r w:rsidR="00113F6C" w:rsidRPr="00C64A67">
        <w:rPr>
          <w:rFonts w:ascii="Times New Roman" w:eastAsia="Times New Roman" w:hAnsi="Times New Roman" w:cs="Times New Roman"/>
          <w:b/>
          <w:sz w:val="24"/>
          <w:szCs w:val="24"/>
          <w:lang w:eastAsia="lt-LT"/>
        </w:rPr>
        <w:t xml:space="preserve">dėl </w:t>
      </w:r>
      <w:r w:rsidRPr="00C64A67">
        <w:rPr>
          <w:rFonts w:ascii="Times New Roman" w:eastAsia="Times New Roman" w:hAnsi="Times New Roman" w:cs="Times New Roman"/>
          <w:b/>
          <w:sz w:val="24"/>
          <w:szCs w:val="24"/>
          <w:lang w:eastAsia="lt-LT"/>
        </w:rPr>
        <w:t>projektų administravimo</w:t>
      </w:r>
      <w:r w:rsidR="00C9527E" w:rsidRPr="00C64A67">
        <w:rPr>
          <w:rFonts w:ascii="Times New Roman" w:eastAsia="Times New Roman" w:hAnsi="Times New Roman" w:cs="Times New Roman"/>
          <w:b/>
          <w:sz w:val="24"/>
          <w:szCs w:val="24"/>
          <w:lang w:eastAsia="lt-LT"/>
        </w:rPr>
        <w:t>,</w:t>
      </w:r>
      <w:r w:rsidR="00113F6C" w:rsidRPr="00C64A67">
        <w:rPr>
          <w:rFonts w:ascii="Times New Roman" w:eastAsia="Times New Roman" w:hAnsi="Times New Roman" w:cs="Times New Roman"/>
          <w:b/>
          <w:sz w:val="24"/>
          <w:szCs w:val="24"/>
          <w:lang w:eastAsia="lt-LT"/>
        </w:rPr>
        <w:t xml:space="preserve"> kai taikomi oficialūs apribojimai </w:t>
      </w:r>
      <w:r w:rsidR="00366019" w:rsidRPr="00C64A67">
        <w:rPr>
          <w:rFonts w:ascii="Times New Roman" w:eastAsia="Times New Roman" w:hAnsi="Times New Roman" w:cs="Times New Roman"/>
          <w:b/>
          <w:i/>
          <w:sz w:val="24"/>
          <w:szCs w:val="24"/>
          <w:lang w:eastAsia="lt-LT"/>
        </w:rPr>
        <w:t xml:space="preserve">(force majeure) </w:t>
      </w:r>
      <w:r w:rsidR="00113F6C" w:rsidRPr="00C64A67">
        <w:rPr>
          <w:rFonts w:ascii="Times New Roman" w:eastAsia="Times New Roman" w:hAnsi="Times New Roman" w:cs="Times New Roman"/>
          <w:b/>
          <w:sz w:val="24"/>
          <w:szCs w:val="24"/>
          <w:lang w:eastAsia="lt-LT"/>
        </w:rPr>
        <w:t>dėl COVID-19 pandemijos</w:t>
      </w:r>
    </w:p>
    <w:tbl>
      <w:tblPr>
        <w:tblStyle w:val="TableGrid"/>
        <w:tblW w:w="0" w:type="auto"/>
        <w:tblLook w:val="04A0" w:firstRow="1" w:lastRow="0" w:firstColumn="1" w:lastColumn="0" w:noHBand="0" w:noVBand="1"/>
      </w:tblPr>
      <w:tblGrid>
        <w:gridCol w:w="2842"/>
        <w:gridCol w:w="6786"/>
      </w:tblGrid>
      <w:tr w:rsidR="00AA4E6F" w:rsidRPr="00E0700C" w14:paraId="3653F138" w14:textId="77777777" w:rsidTr="005E3111">
        <w:trPr>
          <w:trHeight w:val="810"/>
        </w:trPr>
        <w:tc>
          <w:tcPr>
            <w:tcW w:w="9628" w:type="dxa"/>
            <w:gridSpan w:val="2"/>
            <w:vAlign w:val="center"/>
          </w:tcPr>
          <w:p w14:paraId="38A89474" w14:textId="3EAD0A36" w:rsidR="00AA4E6F" w:rsidRPr="005E3111" w:rsidRDefault="00AD2683" w:rsidP="00197815">
            <w:pPr>
              <w:spacing w:before="100" w:beforeAutospacing="1" w:after="100" w:afterAutospacing="1"/>
              <w:jc w:val="center"/>
              <w:rPr>
                <w:rFonts w:ascii="Times New Roman" w:eastAsia="Times New Roman" w:hAnsi="Times New Roman" w:cs="Times New Roman"/>
                <w:b/>
                <w:sz w:val="24"/>
                <w:szCs w:val="24"/>
                <w:lang w:eastAsia="lt-LT"/>
              </w:rPr>
            </w:pPr>
            <w:r w:rsidRPr="005E3111">
              <w:rPr>
                <w:rFonts w:ascii="Times New Roman" w:eastAsia="Times New Roman" w:hAnsi="Times New Roman" w:cs="Times New Roman"/>
                <w:b/>
                <w:sz w:val="24"/>
                <w:szCs w:val="24"/>
                <w:lang w:eastAsia="lt-LT"/>
              </w:rPr>
              <w:t xml:space="preserve">I. </w:t>
            </w:r>
            <w:r w:rsidR="00AA4E6F" w:rsidRPr="005E3111">
              <w:rPr>
                <w:rFonts w:ascii="Times New Roman" w:eastAsia="Times New Roman" w:hAnsi="Times New Roman" w:cs="Times New Roman"/>
                <w:b/>
                <w:sz w:val="24"/>
                <w:szCs w:val="24"/>
                <w:lang w:eastAsia="lt-LT"/>
              </w:rPr>
              <w:t xml:space="preserve">Taikoma </w:t>
            </w:r>
            <w:r w:rsidR="00197815" w:rsidRPr="005E3111">
              <w:rPr>
                <w:rFonts w:ascii="Times New Roman" w:eastAsia="Times New Roman" w:hAnsi="Times New Roman" w:cs="Times New Roman"/>
                <w:b/>
                <w:sz w:val="24"/>
                <w:szCs w:val="24"/>
                <w:lang w:eastAsia="lt-LT"/>
              </w:rPr>
              <w:t>aukštojo mokslo, bendrojo ugdymo, profesinio mokymo ir suaugusiųjų švietimo</w:t>
            </w:r>
            <w:r w:rsidR="00AA4E6F" w:rsidRPr="005E3111">
              <w:rPr>
                <w:rFonts w:ascii="Times New Roman" w:eastAsia="Times New Roman" w:hAnsi="Times New Roman" w:cs="Times New Roman"/>
                <w:b/>
                <w:sz w:val="24"/>
                <w:szCs w:val="24"/>
                <w:lang w:eastAsia="lt-LT"/>
              </w:rPr>
              <w:t xml:space="preserve"> sektoriams</w:t>
            </w:r>
          </w:p>
        </w:tc>
      </w:tr>
      <w:tr w:rsidR="007C6342" w:rsidRPr="00E0700C" w14:paraId="763139A2" w14:textId="77777777" w:rsidTr="00B55917">
        <w:tc>
          <w:tcPr>
            <w:tcW w:w="2842" w:type="dxa"/>
          </w:tcPr>
          <w:p w14:paraId="768B19BD" w14:textId="77777777" w:rsidR="00BD2536" w:rsidRDefault="007C6342" w:rsidP="00BD2536">
            <w:pPr>
              <w:pStyle w:val="ListParagraph"/>
              <w:numPr>
                <w:ilvl w:val="0"/>
                <w:numId w:val="11"/>
              </w:numPr>
              <w:tabs>
                <w:tab w:val="left" w:pos="313"/>
              </w:tabs>
              <w:ind w:left="0" w:firstLine="0"/>
              <w:rPr>
                <w:rFonts w:ascii="Times New Roman" w:hAnsi="Times New Roman" w:cs="Times New Roman"/>
                <w:color w:val="000000" w:themeColor="text1"/>
                <w:sz w:val="24"/>
                <w:szCs w:val="24"/>
              </w:rPr>
            </w:pPr>
            <w:r w:rsidRPr="00E0700C">
              <w:rPr>
                <w:rFonts w:ascii="Times New Roman" w:hAnsi="Times New Roman" w:cs="Times New Roman"/>
                <w:color w:val="000000" w:themeColor="text1"/>
                <w:sz w:val="24"/>
                <w:szCs w:val="24"/>
              </w:rPr>
              <w:t>Ar dėl koronaviruso pandemijos yra stabdoma „Erasmus+“ programa?</w:t>
            </w:r>
          </w:p>
          <w:p w14:paraId="7951961F" w14:textId="28760297" w:rsidR="00BD2536" w:rsidRPr="00BD2536" w:rsidRDefault="00BD2536" w:rsidP="00BD2536">
            <w:pPr>
              <w:pStyle w:val="ListParagraph"/>
              <w:tabs>
                <w:tab w:val="left" w:pos="313"/>
              </w:tabs>
              <w:ind w:left="0"/>
              <w:rPr>
                <w:rFonts w:ascii="Times New Roman" w:hAnsi="Times New Roman" w:cs="Times New Roman"/>
                <w:color w:val="000000" w:themeColor="text1"/>
                <w:sz w:val="24"/>
                <w:szCs w:val="24"/>
              </w:rPr>
            </w:pPr>
          </w:p>
        </w:tc>
        <w:tc>
          <w:tcPr>
            <w:tcW w:w="6786" w:type="dxa"/>
          </w:tcPr>
          <w:p w14:paraId="49F925F0" w14:textId="7482E646" w:rsidR="007C6342" w:rsidRPr="00E0700C" w:rsidRDefault="007C6342" w:rsidP="007C6342">
            <w:pPr>
              <w:spacing w:before="100" w:beforeAutospacing="1" w:after="100" w:afterAutospacing="1"/>
              <w:jc w:val="both"/>
              <w:rPr>
                <w:rFonts w:ascii="Times New Roman" w:eastAsia="Times New Roman" w:hAnsi="Times New Roman" w:cs="Times New Roman"/>
                <w:sz w:val="24"/>
                <w:szCs w:val="24"/>
                <w:lang w:eastAsia="lt-LT"/>
              </w:rPr>
            </w:pPr>
            <w:r w:rsidRPr="00E0700C">
              <w:rPr>
                <w:rFonts w:ascii="Times New Roman" w:eastAsia="Times New Roman" w:hAnsi="Times New Roman" w:cs="Times New Roman"/>
                <w:sz w:val="24"/>
                <w:szCs w:val="24"/>
                <w:lang w:eastAsia="lt-LT"/>
              </w:rPr>
              <w:t>Europos Komisija neplanuoja stabdyti programos</w:t>
            </w:r>
            <w:r w:rsidR="00113F6C" w:rsidRPr="00E0700C">
              <w:rPr>
                <w:rFonts w:ascii="Times New Roman" w:eastAsia="Times New Roman" w:hAnsi="Times New Roman" w:cs="Times New Roman"/>
                <w:sz w:val="24"/>
                <w:szCs w:val="24"/>
                <w:lang w:eastAsia="lt-LT"/>
              </w:rPr>
              <w:t xml:space="preserve"> dėl COVID-19 pandemijos</w:t>
            </w:r>
            <w:r w:rsidRPr="00E0700C">
              <w:rPr>
                <w:rFonts w:ascii="Times New Roman" w:eastAsia="Times New Roman" w:hAnsi="Times New Roman" w:cs="Times New Roman"/>
                <w:sz w:val="24"/>
                <w:szCs w:val="24"/>
                <w:lang w:eastAsia="lt-LT"/>
              </w:rPr>
              <w:t xml:space="preserve">, kadangi daugelis veiklų gali būti įgyvendintos nuotoliniu būdu (virtualūs susitikimai, </w:t>
            </w:r>
            <w:r w:rsidR="00113F6C" w:rsidRPr="00E0700C">
              <w:rPr>
                <w:rFonts w:ascii="Times New Roman" w:eastAsia="Times New Roman" w:hAnsi="Times New Roman" w:cs="Times New Roman"/>
                <w:sz w:val="24"/>
                <w:szCs w:val="24"/>
                <w:lang w:eastAsia="lt-LT"/>
              </w:rPr>
              <w:t xml:space="preserve">mobilumas ir </w:t>
            </w:r>
            <w:r w:rsidRPr="00E0700C">
              <w:rPr>
                <w:rFonts w:ascii="Times New Roman" w:eastAsia="Times New Roman" w:hAnsi="Times New Roman" w:cs="Times New Roman"/>
                <w:sz w:val="24"/>
                <w:szCs w:val="24"/>
                <w:lang w:eastAsia="lt-LT"/>
              </w:rPr>
              <w:t>mokymai nuotoliniu būdu, intelektinių produktų kūrimas, paraiškų rengimas ir pan.)</w:t>
            </w:r>
            <w:r w:rsidR="00F264CF">
              <w:rPr>
                <w:rFonts w:ascii="Times New Roman" w:eastAsia="Times New Roman" w:hAnsi="Times New Roman" w:cs="Times New Roman"/>
                <w:sz w:val="24"/>
                <w:szCs w:val="24"/>
                <w:lang w:eastAsia="lt-LT"/>
              </w:rPr>
              <w:t xml:space="preserve"> arba jos nukeltos vėlesniam laikui, pratęsiant projekto veiklos laikotarpį</w:t>
            </w:r>
            <w:r w:rsidRPr="00E0700C">
              <w:rPr>
                <w:rFonts w:ascii="Times New Roman" w:eastAsia="Times New Roman" w:hAnsi="Times New Roman" w:cs="Times New Roman"/>
                <w:sz w:val="24"/>
                <w:szCs w:val="24"/>
                <w:lang w:eastAsia="lt-LT"/>
              </w:rPr>
              <w:t>.</w:t>
            </w:r>
          </w:p>
        </w:tc>
      </w:tr>
      <w:tr w:rsidR="007C6342" w:rsidRPr="00E0700C" w14:paraId="0A12094D" w14:textId="77777777" w:rsidTr="00B55917">
        <w:tc>
          <w:tcPr>
            <w:tcW w:w="2842" w:type="dxa"/>
          </w:tcPr>
          <w:p w14:paraId="3A0B4485" w14:textId="77777777" w:rsidR="007C6342" w:rsidRDefault="007C6342" w:rsidP="007C6342">
            <w:pPr>
              <w:pStyle w:val="ListParagraph"/>
              <w:numPr>
                <w:ilvl w:val="0"/>
                <w:numId w:val="11"/>
              </w:numPr>
              <w:tabs>
                <w:tab w:val="left" w:pos="313"/>
              </w:tabs>
              <w:ind w:left="0" w:firstLine="0"/>
              <w:rPr>
                <w:rFonts w:ascii="Times New Roman" w:hAnsi="Times New Roman" w:cs="Times New Roman"/>
                <w:color w:val="000000" w:themeColor="text1"/>
                <w:sz w:val="24"/>
                <w:szCs w:val="24"/>
              </w:rPr>
            </w:pPr>
            <w:r w:rsidRPr="00E0700C">
              <w:rPr>
                <w:rFonts w:ascii="Times New Roman" w:hAnsi="Times New Roman" w:cs="Times New Roman"/>
                <w:color w:val="000000" w:themeColor="text1"/>
                <w:sz w:val="24"/>
                <w:szCs w:val="24"/>
              </w:rPr>
              <w:t xml:space="preserve">Kokie yra </w:t>
            </w:r>
            <w:r w:rsidRPr="00E0700C">
              <w:rPr>
                <w:rFonts w:ascii="Times New Roman" w:hAnsi="Times New Roman" w:cs="Times New Roman"/>
                <w:i/>
                <w:color w:val="000000" w:themeColor="text1"/>
                <w:sz w:val="24"/>
                <w:szCs w:val="24"/>
              </w:rPr>
              <w:t>force majeure</w:t>
            </w:r>
            <w:r w:rsidRPr="00E0700C">
              <w:rPr>
                <w:rFonts w:ascii="Times New Roman" w:hAnsi="Times New Roman" w:cs="Times New Roman"/>
                <w:color w:val="000000" w:themeColor="text1"/>
                <w:sz w:val="24"/>
                <w:szCs w:val="24"/>
              </w:rPr>
              <w:t xml:space="preserve"> taikymo atvejai?</w:t>
            </w:r>
          </w:p>
          <w:p w14:paraId="597CE6B3" w14:textId="799C42B9" w:rsidR="00BD2536" w:rsidRPr="00E0700C" w:rsidRDefault="00BD2536" w:rsidP="00BD2536">
            <w:pPr>
              <w:pStyle w:val="ListParagraph"/>
              <w:tabs>
                <w:tab w:val="left" w:pos="313"/>
              </w:tabs>
              <w:ind w:left="0"/>
              <w:rPr>
                <w:rFonts w:ascii="Times New Roman" w:hAnsi="Times New Roman" w:cs="Times New Roman"/>
                <w:color w:val="000000" w:themeColor="text1"/>
                <w:sz w:val="24"/>
                <w:szCs w:val="24"/>
              </w:rPr>
            </w:pPr>
          </w:p>
        </w:tc>
        <w:tc>
          <w:tcPr>
            <w:tcW w:w="6786" w:type="dxa"/>
          </w:tcPr>
          <w:p w14:paraId="6F20A6C4" w14:textId="0B2E4C91" w:rsidR="007C6342" w:rsidRPr="00E0700C" w:rsidRDefault="007C6342" w:rsidP="007C6342">
            <w:pPr>
              <w:spacing w:before="100" w:beforeAutospacing="1" w:after="100" w:afterAutospacing="1"/>
              <w:jc w:val="both"/>
              <w:rPr>
                <w:rFonts w:ascii="Times New Roman" w:eastAsia="Times New Roman" w:hAnsi="Times New Roman" w:cs="Times New Roman"/>
                <w:sz w:val="24"/>
                <w:szCs w:val="24"/>
                <w:lang w:eastAsia="lt-LT"/>
              </w:rPr>
            </w:pPr>
            <w:r w:rsidRPr="00E0700C">
              <w:rPr>
                <w:rFonts w:ascii="Times New Roman" w:eastAsia="Times New Roman" w:hAnsi="Times New Roman" w:cs="Times New Roman"/>
                <w:sz w:val="24"/>
                <w:szCs w:val="24"/>
                <w:lang w:eastAsia="lt-LT"/>
              </w:rPr>
              <w:t>EK gerbia visas izoliavimo priemones, kurių imasi valstybės narės</w:t>
            </w:r>
            <w:r w:rsidR="00E5651F" w:rsidRPr="00E0700C">
              <w:rPr>
                <w:rFonts w:ascii="Times New Roman" w:eastAsia="Times New Roman" w:hAnsi="Times New Roman" w:cs="Times New Roman"/>
                <w:sz w:val="24"/>
                <w:szCs w:val="24"/>
                <w:lang w:eastAsia="lt-LT"/>
              </w:rPr>
              <w:t>, siekdamos suvaldyti koronaviruso plitimą</w:t>
            </w:r>
            <w:r w:rsidRPr="00E0700C">
              <w:rPr>
                <w:rFonts w:ascii="Times New Roman" w:eastAsia="Times New Roman" w:hAnsi="Times New Roman" w:cs="Times New Roman"/>
                <w:sz w:val="24"/>
                <w:szCs w:val="24"/>
                <w:lang w:eastAsia="lt-LT"/>
              </w:rPr>
              <w:t>. Komisija supranta, kad šios priemonės gali turėti įtakos studentų, mokinių ir kitų asmenų dalyvavimui „Erasmus+“ mobilumuose</w:t>
            </w:r>
            <w:r w:rsidR="00E5651F" w:rsidRPr="00E0700C">
              <w:rPr>
                <w:rFonts w:ascii="Times New Roman" w:eastAsia="Times New Roman" w:hAnsi="Times New Roman" w:cs="Times New Roman"/>
                <w:sz w:val="24"/>
                <w:szCs w:val="24"/>
                <w:lang w:eastAsia="lt-LT"/>
              </w:rPr>
              <w:t xml:space="preserve"> (pvz. kad kai kurie dalyviai negali išvykti į mobilumą).</w:t>
            </w:r>
          </w:p>
          <w:p w14:paraId="01434D58" w14:textId="2A32A041" w:rsidR="00E85574" w:rsidRDefault="00E5651F" w:rsidP="00E85574">
            <w:pPr>
              <w:spacing w:before="100" w:beforeAutospacing="1" w:after="100" w:afterAutospacing="1"/>
              <w:jc w:val="both"/>
              <w:rPr>
                <w:rFonts w:ascii="Times New Roman" w:eastAsia="Times New Roman" w:hAnsi="Times New Roman" w:cs="Times New Roman"/>
                <w:sz w:val="24"/>
                <w:szCs w:val="24"/>
                <w:lang w:eastAsia="lt-LT"/>
              </w:rPr>
            </w:pPr>
            <w:r w:rsidRPr="00E0700C">
              <w:rPr>
                <w:rFonts w:ascii="Times New Roman" w:eastAsia="Times New Roman" w:hAnsi="Times New Roman" w:cs="Times New Roman"/>
                <w:sz w:val="24"/>
                <w:szCs w:val="24"/>
                <w:lang w:eastAsia="lt-LT"/>
              </w:rPr>
              <w:t xml:space="preserve">Nacionalinės agentūros (tarp jų ir Švietimo mainų paramos fondas) lanksčiai taikys </w:t>
            </w:r>
            <w:r w:rsidRPr="00E0700C">
              <w:rPr>
                <w:rFonts w:ascii="Times New Roman" w:eastAsia="Times New Roman" w:hAnsi="Times New Roman" w:cs="Times New Roman"/>
                <w:i/>
                <w:sz w:val="24"/>
                <w:szCs w:val="24"/>
                <w:lang w:eastAsia="lt-LT"/>
              </w:rPr>
              <w:t>force majeure</w:t>
            </w:r>
            <w:r w:rsidRPr="00E0700C">
              <w:rPr>
                <w:rFonts w:ascii="Times New Roman" w:eastAsia="Times New Roman" w:hAnsi="Times New Roman" w:cs="Times New Roman"/>
                <w:sz w:val="24"/>
                <w:szCs w:val="24"/>
                <w:lang w:eastAsia="lt-LT"/>
              </w:rPr>
              <w:t xml:space="preserve"> principą svarstydamos kiekvieną individualų atvej</w:t>
            </w:r>
            <w:r w:rsidR="002D4393">
              <w:rPr>
                <w:rFonts w:ascii="Times New Roman" w:eastAsia="Times New Roman" w:hAnsi="Times New Roman" w:cs="Times New Roman"/>
                <w:sz w:val="24"/>
                <w:szCs w:val="24"/>
                <w:lang w:eastAsia="lt-LT"/>
              </w:rPr>
              <w:t>į</w:t>
            </w:r>
            <w:r w:rsidRPr="00E0700C">
              <w:rPr>
                <w:rFonts w:ascii="Times New Roman" w:eastAsia="Times New Roman" w:hAnsi="Times New Roman" w:cs="Times New Roman"/>
                <w:sz w:val="24"/>
                <w:szCs w:val="24"/>
                <w:lang w:eastAsia="lt-LT"/>
              </w:rPr>
              <w:t xml:space="preserve"> dėl mobilumų įskaitymo ir patirtų nuostolių kompensavimo. </w:t>
            </w:r>
          </w:p>
          <w:p w14:paraId="521BA83D" w14:textId="2C277B83" w:rsidR="007C6342" w:rsidRPr="00E0700C" w:rsidRDefault="00E85574" w:rsidP="0050252A">
            <w:pPr>
              <w:spacing w:before="100" w:beforeAutospacing="1" w:after="100" w:afterAutospacing="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Atkreipiame dėmesį, kad </w:t>
            </w:r>
            <w:r w:rsidRPr="00125BEB">
              <w:rPr>
                <w:rFonts w:ascii="Times New Roman" w:eastAsia="Times New Roman" w:hAnsi="Times New Roman" w:cs="Times New Roman"/>
                <w:i/>
                <w:sz w:val="24"/>
                <w:szCs w:val="24"/>
                <w:lang w:eastAsia="lt-LT"/>
              </w:rPr>
              <w:t>force majeure</w:t>
            </w:r>
            <w:r>
              <w:rPr>
                <w:rFonts w:ascii="Times New Roman" w:eastAsia="Times New Roman" w:hAnsi="Times New Roman" w:cs="Times New Roman"/>
                <w:sz w:val="24"/>
                <w:szCs w:val="24"/>
                <w:lang w:eastAsia="lt-LT"/>
              </w:rPr>
              <w:t xml:space="preserve"> principas </w:t>
            </w:r>
            <w:r w:rsidRPr="00E85574">
              <w:rPr>
                <w:rFonts w:ascii="Times New Roman" w:eastAsia="Times New Roman" w:hAnsi="Times New Roman" w:cs="Times New Roman"/>
                <w:sz w:val="24"/>
                <w:szCs w:val="24"/>
                <w:lang w:eastAsia="lt-LT"/>
              </w:rPr>
              <w:t>COVID-19</w:t>
            </w:r>
            <w:r w:rsidR="0050252A">
              <w:rPr>
                <w:rFonts w:ascii="Times New Roman" w:eastAsia="Times New Roman" w:hAnsi="Times New Roman" w:cs="Times New Roman"/>
                <w:sz w:val="24"/>
                <w:szCs w:val="24"/>
                <w:lang w:eastAsia="lt-LT"/>
              </w:rPr>
              <w:t xml:space="preserve"> pandemijos</w:t>
            </w:r>
            <w:r w:rsidRPr="00E85574">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kontekste, įgyvendinant programos „Erasmus+“ projektus, gali būti taikomas tais atvejais, kai yra uždaromos šalies/miesto sienos ir nėra išvykimo/atvykimo galimybės</w:t>
            </w:r>
            <w:r w:rsidR="0050252A">
              <w:rPr>
                <w:rFonts w:ascii="Times New Roman" w:eastAsia="Times New Roman" w:hAnsi="Times New Roman" w:cs="Times New Roman"/>
                <w:sz w:val="24"/>
                <w:szCs w:val="24"/>
                <w:lang w:eastAsia="lt-LT"/>
              </w:rPr>
              <w:t xml:space="preserve"> ir/arba tai atvejais, kai priimanti institucija oficialiai atšaukia mobilumo veiklas</w:t>
            </w:r>
            <w:r w:rsidR="005E398D">
              <w:rPr>
                <w:rFonts w:ascii="Times New Roman" w:eastAsia="Times New Roman" w:hAnsi="Times New Roman" w:cs="Times New Roman"/>
                <w:sz w:val="24"/>
                <w:szCs w:val="24"/>
                <w:lang w:eastAsia="lt-LT"/>
              </w:rPr>
              <w:t xml:space="preserve"> dėl COVID-19</w:t>
            </w:r>
            <w:r>
              <w:rPr>
                <w:rFonts w:ascii="Times New Roman" w:eastAsia="Times New Roman" w:hAnsi="Times New Roman" w:cs="Times New Roman"/>
                <w:sz w:val="24"/>
                <w:szCs w:val="24"/>
                <w:lang w:eastAsia="lt-LT"/>
              </w:rPr>
              <w:t xml:space="preserve">. </w:t>
            </w:r>
            <w:r w:rsidR="00DB206D">
              <w:rPr>
                <w:rFonts w:ascii="Times New Roman" w:eastAsia="Times New Roman" w:hAnsi="Times New Roman" w:cs="Times New Roman"/>
                <w:sz w:val="24"/>
                <w:szCs w:val="24"/>
                <w:lang w:eastAsia="lt-LT"/>
              </w:rPr>
              <w:t xml:space="preserve">Tais atvejais, kai paskelbus šalyje/mieste karantiną, uždarytose mokslo ir studijų institucijose studijos vykdomos nuotoliniu būdu, </w:t>
            </w:r>
            <w:r w:rsidR="00DB206D" w:rsidRPr="00B87EDB">
              <w:rPr>
                <w:rFonts w:ascii="Times New Roman" w:eastAsia="Times New Roman" w:hAnsi="Times New Roman" w:cs="Times New Roman"/>
                <w:i/>
                <w:sz w:val="24"/>
                <w:szCs w:val="24"/>
                <w:lang w:eastAsia="lt-LT"/>
              </w:rPr>
              <w:t>force majeure</w:t>
            </w:r>
            <w:r w:rsidR="00DB206D">
              <w:rPr>
                <w:rFonts w:ascii="Times New Roman" w:eastAsia="Times New Roman" w:hAnsi="Times New Roman" w:cs="Times New Roman"/>
                <w:sz w:val="24"/>
                <w:szCs w:val="24"/>
                <w:lang w:eastAsia="lt-LT"/>
              </w:rPr>
              <w:t xml:space="preserve"> principas </w:t>
            </w:r>
            <w:r w:rsidR="0050252A">
              <w:rPr>
                <w:rFonts w:ascii="Times New Roman" w:eastAsia="Times New Roman" w:hAnsi="Times New Roman" w:cs="Times New Roman"/>
                <w:sz w:val="24"/>
                <w:szCs w:val="24"/>
                <w:lang w:eastAsia="lt-LT"/>
              </w:rPr>
              <w:t>nėra</w:t>
            </w:r>
            <w:r w:rsidR="00DB206D">
              <w:rPr>
                <w:rFonts w:ascii="Times New Roman" w:eastAsia="Times New Roman" w:hAnsi="Times New Roman" w:cs="Times New Roman"/>
                <w:sz w:val="24"/>
                <w:szCs w:val="24"/>
                <w:lang w:eastAsia="lt-LT"/>
              </w:rPr>
              <w:t xml:space="preserve"> taikomas.</w:t>
            </w:r>
            <w:r w:rsidR="00DB206D" w:rsidRPr="00E0700C">
              <w:rPr>
                <w:rFonts w:ascii="Times New Roman" w:eastAsia="Times New Roman" w:hAnsi="Times New Roman" w:cs="Times New Roman"/>
                <w:sz w:val="24"/>
                <w:szCs w:val="24"/>
                <w:lang w:eastAsia="lt-LT"/>
              </w:rPr>
              <w:t xml:space="preserve"> </w:t>
            </w:r>
          </w:p>
        </w:tc>
      </w:tr>
      <w:tr w:rsidR="007C6342" w:rsidRPr="00E0700C" w14:paraId="5D230D29" w14:textId="77777777" w:rsidTr="00B55917">
        <w:tc>
          <w:tcPr>
            <w:tcW w:w="2842" w:type="dxa"/>
          </w:tcPr>
          <w:p w14:paraId="46E66A01" w14:textId="77777777" w:rsidR="007C6342" w:rsidRDefault="007C6342" w:rsidP="007C6342">
            <w:pPr>
              <w:pStyle w:val="ListParagraph"/>
              <w:numPr>
                <w:ilvl w:val="0"/>
                <w:numId w:val="11"/>
              </w:numPr>
              <w:tabs>
                <w:tab w:val="left" w:pos="313"/>
              </w:tabs>
              <w:ind w:left="0" w:firstLine="0"/>
              <w:rPr>
                <w:rFonts w:ascii="Times New Roman" w:hAnsi="Times New Roman" w:cs="Times New Roman"/>
                <w:color w:val="000000" w:themeColor="text1"/>
                <w:sz w:val="24"/>
                <w:szCs w:val="24"/>
              </w:rPr>
            </w:pPr>
            <w:r w:rsidRPr="00E0700C">
              <w:rPr>
                <w:rFonts w:ascii="Times New Roman" w:hAnsi="Times New Roman" w:cs="Times New Roman"/>
                <w:color w:val="000000" w:themeColor="text1"/>
                <w:sz w:val="24"/>
                <w:szCs w:val="24"/>
              </w:rPr>
              <w:t>Ar gali būti pratęstas projekto dotacijos sutarties laikotarpis?</w:t>
            </w:r>
          </w:p>
          <w:p w14:paraId="70FB79FB" w14:textId="7AB8BE0C" w:rsidR="00BD2536" w:rsidRPr="00E0700C" w:rsidRDefault="00BD2536" w:rsidP="00BD2536">
            <w:pPr>
              <w:pStyle w:val="ListParagraph"/>
              <w:tabs>
                <w:tab w:val="left" w:pos="313"/>
              </w:tabs>
              <w:ind w:left="0"/>
              <w:rPr>
                <w:rFonts w:ascii="Times New Roman" w:hAnsi="Times New Roman" w:cs="Times New Roman"/>
                <w:color w:val="000000" w:themeColor="text1"/>
                <w:sz w:val="24"/>
                <w:szCs w:val="24"/>
              </w:rPr>
            </w:pPr>
          </w:p>
        </w:tc>
        <w:tc>
          <w:tcPr>
            <w:tcW w:w="6786" w:type="dxa"/>
          </w:tcPr>
          <w:p w14:paraId="26782D88" w14:textId="67CEC45E" w:rsidR="001857C8" w:rsidRPr="00E0700C" w:rsidRDefault="001857C8" w:rsidP="00362896">
            <w:pPr>
              <w:jc w:val="both"/>
              <w:rPr>
                <w:rFonts w:ascii="Times New Roman" w:hAnsi="Times New Roman" w:cs="Times New Roman"/>
                <w:sz w:val="24"/>
                <w:szCs w:val="24"/>
              </w:rPr>
            </w:pPr>
            <w:r w:rsidRPr="00E0700C">
              <w:rPr>
                <w:rFonts w:ascii="Times New Roman" w:hAnsi="Times New Roman" w:cs="Times New Roman"/>
                <w:sz w:val="24"/>
                <w:szCs w:val="24"/>
              </w:rPr>
              <w:t>Fondas gali patenkinti pagrįstus prašymus pratęsti dotacijų sutartis tais atvejais, kai dotacijos gavėjas negalėjo įgyvendinti sutart</w:t>
            </w:r>
            <w:r>
              <w:rPr>
                <w:rFonts w:ascii="Times New Roman" w:hAnsi="Times New Roman" w:cs="Times New Roman"/>
                <w:sz w:val="24"/>
                <w:szCs w:val="24"/>
              </w:rPr>
              <w:t>yje</w:t>
            </w:r>
            <w:r w:rsidRPr="00E0700C">
              <w:rPr>
                <w:rFonts w:ascii="Times New Roman" w:hAnsi="Times New Roman" w:cs="Times New Roman"/>
                <w:sz w:val="24"/>
                <w:szCs w:val="24"/>
              </w:rPr>
              <w:t xml:space="preserve"> suplanuotų mobilumų, projekto partnerių susitikimų ir/ar kitų projekto veiklų dėl koronaviruso plitimo.</w:t>
            </w:r>
          </w:p>
          <w:p w14:paraId="5F7382B4" w14:textId="77777777" w:rsidR="001857C8" w:rsidRDefault="001857C8" w:rsidP="007C6342">
            <w:pPr>
              <w:rPr>
                <w:rFonts w:ascii="Times New Roman" w:hAnsi="Times New Roman" w:cs="Times New Roman"/>
                <w:sz w:val="24"/>
                <w:szCs w:val="24"/>
              </w:rPr>
            </w:pPr>
          </w:p>
          <w:p w14:paraId="60504CA6" w14:textId="7AA97DD3" w:rsidR="007C6342" w:rsidRPr="00E0700C" w:rsidRDefault="007C6342" w:rsidP="00362896">
            <w:pPr>
              <w:jc w:val="both"/>
              <w:rPr>
                <w:rFonts w:ascii="Times New Roman" w:hAnsi="Times New Roman" w:cs="Times New Roman"/>
                <w:sz w:val="24"/>
                <w:szCs w:val="24"/>
              </w:rPr>
            </w:pPr>
            <w:r w:rsidRPr="00E0700C">
              <w:rPr>
                <w:rFonts w:ascii="Times New Roman" w:hAnsi="Times New Roman" w:cs="Times New Roman"/>
                <w:sz w:val="24"/>
                <w:szCs w:val="24"/>
              </w:rPr>
              <w:t>Dotacijos sutartys galės būti pratęstos (jei toks poreikis yra), kaip nurodyta žemiau:</w:t>
            </w:r>
          </w:p>
          <w:p w14:paraId="2DE38B98" w14:textId="0FC85C6A" w:rsidR="007C6342" w:rsidRPr="00E0700C" w:rsidRDefault="007C6342" w:rsidP="00362896">
            <w:pPr>
              <w:jc w:val="both"/>
              <w:rPr>
                <w:rFonts w:ascii="Times New Roman" w:hAnsi="Times New Roman" w:cs="Times New Roman"/>
                <w:sz w:val="24"/>
                <w:szCs w:val="24"/>
              </w:rPr>
            </w:pPr>
            <w:r w:rsidRPr="00E0700C">
              <w:rPr>
                <w:rFonts w:ascii="Times New Roman" w:hAnsi="Times New Roman" w:cs="Times New Roman"/>
                <w:b/>
                <w:bCs/>
                <w:sz w:val="24"/>
                <w:szCs w:val="24"/>
                <w:u w:val="single"/>
              </w:rPr>
              <w:t>2018 metų</w:t>
            </w:r>
            <w:r w:rsidRPr="00E0700C">
              <w:rPr>
                <w:rFonts w:ascii="Times New Roman" w:hAnsi="Times New Roman" w:cs="Times New Roman"/>
                <w:b/>
                <w:bCs/>
                <w:sz w:val="24"/>
                <w:szCs w:val="24"/>
              </w:rPr>
              <w:t xml:space="preserve"> KA107 projekto</w:t>
            </w:r>
            <w:r w:rsidRPr="00E0700C">
              <w:rPr>
                <w:rFonts w:ascii="Times New Roman" w:hAnsi="Times New Roman" w:cs="Times New Roman"/>
                <w:sz w:val="24"/>
                <w:szCs w:val="24"/>
              </w:rPr>
              <w:t xml:space="preserve"> </w:t>
            </w:r>
            <w:r w:rsidRPr="00E0700C">
              <w:rPr>
                <w:rFonts w:ascii="Times New Roman" w:hAnsi="Times New Roman" w:cs="Times New Roman"/>
                <w:b/>
                <w:bCs/>
                <w:sz w:val="24"/>
                <w:szCs w:val="24"/>
              </w:rPr>
              <w:t>sutartis</w:t>
            </w:r>
            <w:r w:rsidRPr="00E0700C">
              <w:rPr>
                <w:rFonts w:ascii="Times New Roman" w:hAnsi="Times New Roman" w:cs="Times New Roman"/>
                <w:sz w:val="24"/>
                <w:szCs w:val="24"/>
              </w:rPr>
              <w:t xml:space="preserve"> (</w:t>
            </w:r>
            <w:r w:rsidRPr="00E0700C">
              <w:rPr>
                <w:rFonts w:ascii="Times New Roman" w:hAnsi="Times New Roman" w:cs="Times New Roman"/>
                <w:b/>
                <w:bCs/>
                <w:sz w:val="24"/>
                <w:szCs w:val="24"/>
              </w:rPr>
              <w:t>26 mėn. trukmės) gali būti pratęsta</w:t>
            </w:r>
            <w:r w:rsidRPr="00E0700C">
              <w:rPr>
                <w:rFonts w:ascii="Times New Roman" w:hAnsi="Times New Roman" w:cs="Times New Roman"/>
                <w:sz w:val="24"/>
                <w:szCs w:val="24"/>
              </w:rPr>
              <w:t xml:space="preserve"> </w:t>
            </w:r>
            <w:r w:rsidRPr="00E0700C">
              <w:rPr>
                <w:rFonts w:ascii="Times New Roman" w:hAnsi="Times New Roman" w:cs="Times New Roman"/>
                <w:b/>
                <w:bCs/>
                <w:sz w:val="24"/>
                <w:szCs w:val="24"/>
              </w:rPr>
              <w:t>12 mėn.</w:t>
            </w:r>
            <w:r w:rsidRPr="00E0700C">
              <w:rPr>
                <w:rFonts w:ascii="Times New Roman" w:hAnsi="Times New Roman" w:cs="Times New Roman"/>
                <w:sz w:val="24"/>
                <w:szCs w:val="24"/>
              </w:rPr>
              <w:t xml:space="preserve">, t. y. </w:t>
            </w:r>
            <w:r w:rsidRPr="00E0700C">
              <w:rPr>
                <w:rFonts w:ascii="Times New Roman" w:hAnsi="Times New Roman" w:cs="Times New Roman"/>
                <w:b/>
                <w:bCs/>
                <w:sz w:val="24"/>
                <w:szCs w:val="24"/>
              </w:rPr>
              <w:t>iki 2021 m. liepos 31 d</w:t>
            </w:r>
            <w:r w:rsidRPr="00E0700C">
              <w:rPr>
                <w:rFonts w:ascii="Times New Roman" w:hAnsi="Times New Roman" w:cs="Times New Roman"/>
                <w:sz w:val="24"/>
                <w:szCs w:val="24"/>
              </w:rPr>
              <w:t xml:space="preserve">. Maksimali galima projekto trukmė – 38 mėn. </w:t>
            </w:r>
          </w:p>
          <w:p w14:paraId="45AE9B79" w14:textId="148E0608" w:rsidR="005507B2" w:rsidRDefault="007C6342" w:rsidP="00362896">
            <w:pPr>
              <w:jc w:val="both"/>
              <w:rPr>
                <w:rFonts w:ascii="Times New Roman" w:hAnsi="Times New Roman" w:cs="Times New Roman"/>
                <w:sz w:val="24"/>
                <w:szCs w:val="24"/>
              </w:rPr>
            </w:pPr>
            <w:r w:rsidRPr="00E0700C">
              <w:rPr>
                <w:rFonts w:ascii="Times New Roman" w:hAnsi="Times New Roman" w:cs="Times New Roman"/>
                <w:b/>
                <w:bCs/>
                <w:sz w:val="24"/>
                <w:szCs w:val="24"/>
                <w:u w:val="single"/>
              </w:rPr>
              <w:t>2018 metų</w:t>
            </w:r>
            <w:r w:rsidRPr="00E0700C">
              <w:rPr>
                <w:rFonts w:ascii="Times New Roman" w:hAnsi="Times New Roman" w:cs="Times New Roman"/>
                <w:b/>
                <w:bCs/>
                <w:sz w:val="24"/>
                <w:szCs w:val="24"/>
              </w:rPr>
              <w:t xml:space="preserve"> visų sektorių strateginių partnerysčių KA2 projektų sutartys (24 mėn. arba 30 mėn. trukmės) gali būti pratęsta</w:t>
            </w:r>
            <w:r w:rsidRPr="00E0700C">
              <w:rPr>
                <w:rFonts w:ascii="Times New Roman" w:hAnsi="Times New Roman" w:cs="Times New Roman"/>
                <w:sz w:val="24"/>
                <w:szCs w:val="24"/>
              </w:rPr>
              <w:t xml:space="preserve"> </w:t>
            </w:r>
            <w:r w:rsidRPr="00E0700C">
              <w:rPr>
                <w:rFonts w:ascii="Times New Roman" w:hAnsi="Times New Roman" w:cs="Times New Roman"/>
                <w:b/>
                <w:bCs/>
                <w:sz w:val="24"/>
                <w:szCs w:val="24"/>
              </w:rPr>
              <w:t>atitinkamai 12 arba 6 mėn.</w:t>
            </w:r>
            <w:r w:rsidRPr="00E0700C">
              <w:rPr>
                <w:rFonts w:ascii="Times New Roman" w:hAnsi="Times New Roman" w:cs="Times New Roman"/>
                <w:sz w:val="24"/>
                <w:szCs w:val="24"/>
              </w:rPr>
              <w:t xml:space="preserve"> Maksimali galima projekto trukmė – 36 mėn.</w:t>
            </w:r>
          </w:p>
          <w:p w14:paraId="2FA93E1C" w14:textId="278A2B3D" w:rsidR="007C6342" w:rsidRPr="00E0700C" w:rsidRDefault="005507B2" w:rsidP="00362896">
            <w:pPr>
              <w:jc w:val="both"/>
              <w:rPr>
                <w:rFonts w:ascii="Times New Roman" w:hAnsi="Times New Roman" w:cs="Times New Roman"/>
                <w:sz w:val="24"/>
                <w:szCs w:val="24"/>
              </w:rPr>
            </w:pPr>
            <w:r>
              <w:rPr>
                <w:rFonts w:ascii="Times New Roman" w:hAnsi="Times New Roman" w:cs="Times New Roman"/>
                <w:b/>
                <w:bCs/>
                <w:sz w:val="24"/>
                <w:szCs w:val="24"/>
                <w:u w:val="single"/>
              </w:rPr>
              <w:t>2018 metų</w:t>
            </w:r>
            <w:r>
              <w:rPr>
                <w:rFonts w:ascii="Times New Roman" w:hAnsi="Times New Roman" w:cs="Times New Roman"/>
                <w:b/>
                <w:bCs/>
                <w:sz w:val="24"/>
                <w:szCs w:val="24"/>
              </w:rPr>
              <w:t xml:space="preserve"> visų sektorių mobilumo projektų KA1 (24 mėn. trukmės) sutartis gali būti pratęsta</w:t>
            </w:r>
            <w:r>
              <w:rPr>
                <w:rFonts w:ascii="Times New Roman" w:hAnsi="Times New Roman" w:cs="Times New Roman"/>
                <w:sz w:val="24"/>
                <w:szCs w:val="24"/>
              </w:rPr>
              <w:t xml:space="preserve"> </w:t>
            </w:r>
            <w:r>
              <w:rPr>
                <w:rFonts w:ascii="Times New Roman" w:hAnsi="Times New Roman" w:cs="Times New Roman"/>
                <w:b/>
                <w:bCs/>
                <w:sz w:val="24"/>
                <w:szCs w:val="24"/>
              </w:rPr>
              <w:t>12 mėn.</w:t>
            </w:r>
            <w:r>
              <w:rPr>
                <w:rFonts w:ascii="Times New Roman" w:hAnsi="Times New Roman" w:cs="Times New Roman"/>
                <w:sz w:val="24"/>
                <w:szCs w:val="24"/>
              </w:rPr>
              <w:t xml:space="preserve">, t. y. </w:t>
            </w:r>
            <w:r>
              <w:rPr>
                <w:rFonts w:ascii="Times New Roman" w:hAnsi="Times New Roman" w:cs="Times New Roman"/>
                <w:b/>
                <w:bCs/>
                <w:sz w:val="24"/>
                <w:szCs w:val="24"/>
              </w:rPr>
              <w:t>iki 2021 m. gegužės 31 d</w:t>
            </w:r>
            <w:r>
              <w:rPr>
                <w:rFonts w:ascii="Times New Roman" w:hAnsi="Times New Roman" w:cs="Times New Roman"/>
                <w:sz w:val="24"/>
                <w:szCs w:val="24"/>
              </w:rPr>
              <w:t>. Maksimali galima projekto trukmė – 36 mėn.</w:t>
            </w:r>
          </w:p>
          <w:p w14:paraId="6EDE31A2" w14:textId="371FA113" w:rsidR="007C6342" w:rsidRPr="00E0700C" w:rsidRDefault="007C6342" w:rsidP="00362896">
            <w:pPr>
              <w:jc w:val="both"/>
              <w:rPr>
                <w:rFonts w:ascii="Times New Roman" w:eastAsia="Times New Roman" w:hAnsi="Times New Roman" w:cs="Times New Roman"/>
                <w:sz w:val="24"/>
                <w:szCs w:val="24"/>
                <w:lang w:eastAsia="lt-LT"/>
              </w:rPr>
            </w:pPr>
            <w:r w:rsidRPr="00E0700C">
              <w:rPr>
                <w:rFonts w:ascii="Times New Roman" w:hAnsi="Times New Roman" w:cs="Times New Roman"/>
                <w:b/>
                <w:sz w:val="24"/>
                <w:szCs w:val="24"/>
                <w:u w:val="single"/>
              </w:rPr>
              <w:t xml:space="preserve">2019 </w:t>
            </w:r>
            <w:r w:rsidR="00E5651F" w:rsidRPr="00E0700C">
              <w:rPr>
                <w:rFonts w:ascii="Times New Roman" w:hAnsi="Times New Roman" w:cs="Times New Roman"/>
                <w:b/>
                <w:sz w:val="24"/>
                <w:szCs w:val="24"/>
                <w:u w:val="single"/>
              </w:rPr>
              <w:t xml:space="preserve">ir 2020 </w:t>
            </w:r>
            <w:r w:rsidRPr="00E0700C">
              <w:rPr>
                <w:rFonts w:ascii="Times New Roman" w:hAnsi="Times New Roman" w:cs="Times New Roman"/>
                <w:b/>
                <w:sz w:val="24"/>
                <w:szCs w:val="24"/>
                <w:u w:val="single"/>
              </w:rPr>
              <w:t>m</w:t>
            </w:r>
            <w:r w:rsidR="00E5651F" w:rsidRPr="00E0700C">
              <w:rPr>
                <w:rFonts w:ascii="Times New Roman" w:hAnsi="Times New Roman" w:cs="Times New Roman"/>
                <w:b/>
                <w:sz w:val="24"/>
                <w:szCs w:val="24"/>
                <w:u w:val="single"/>
              </w:rPr>
              <w:t>etų</w:t>
            </w:r>
            <w:r w:rsidRPr="00E0700C">
              <w:rPr>
                <w:rFonts w:ascii="Times New Roman" w:hAnsi="Times New Roman" w:cs="Times New Roman"/>
                <w:sz w:val="24"/>
                <w:szCs w:val="24"/>
              </w:rPr>
              <w:t xml:space="preserve"> dotacijų sutartys gali būti </w:t>
            </w:r>
            <w:r w:rsidR="001F5CEF">
              <w:rPr>
                <w:rFonts w:ascii="Times New Roman" w:hAnsi="Times New Roman" w:cs="Times New Roman"/>
                <w:sz w:val="24"/>
                <w:szCs w:val="24"/>
              </w:rPr>
              <w:t xml:space="preserve">pratęstos </w:t>
            </w:r>
            <w:r w:rsidR="001F5CEF" w:rsidRPr="001857C8">
              <w:rPr>
                <w:rFonts w:ascii="Times New Roman" w:hAnsi="Times New Roman" w:cs="Times New Roman"/>
                <w:sz w:val="24"/>
                <w:szCs w:val="24"/>
              </w:rPr>
              <w:t>dvylikai m</w:t>
            </w:r>
            <w:r w:rsidR="001F5CEF">
              <w:rPr>
                <w:rFonts w:ascii="Times New Roman" w:hAnsi="Times New Roman" w:cs="Times New Roman"/>
                <w:sz w:val="24"/>
                <w:szCs w:val="24"/>
              </w:rPr>
              <w:t xml:space="preserve">ėnesių, bet neviršijant maksimalios </w:t>
            </w:r>
            <w:r w:rsidR="001F5CEF" w:rsidRPr="001857C8">
              <w:rPr>
                <w:rFonts w:ascii="Times New Roman" w:hAnsi="Times New Roman" w:cs="Times New Roman"/>
                <w:sz w:val="24"/>
                <w:szCs w:val="24"/>
              </w:rPr>
              <w:t>36 m</w:t>
            </w:r>
            <w:r w:rsidR="001F5CEF">
              <w:rPr>
                <w:rFonts w:ascii="Times New Roman" w:hAnsi="Times New Roman" w:cs="Times New Roman"/>
                <w:sz w:val="24"/>
                <w:szCs w:val="24"/>
              </w:rPr>
              <w:t>ėnesių trukmės.</w:t>
            </w:r>
            <w:r w:rsidR="000768ED">
              <w:rPr>
                <w:rFonts w:ascii="Times New Roman" w:hAnsi="Times New Roman" w:cs="Times New Roman"/>
                <w:sz w:val="24"/>
                <w:szCs w:val="24"/>
              </w:rPr>
              <w:t xml:space="preserve"> </w:t>
            </w:r>
            <w:r w:rsidRPr="00E0700C">
              <w:rPr>
                <w:rFonts w:ascii="Times New Roman" w:hAnsi="Times New Roman" w:cs="Times New Roman"/>
                <w:sz w:val="24"/>
                <w:szCs w:val="24"/>
              </w:rPr>
              <w:t xml:space="preserve">Gavus </w:t>
            </w:r>
            <w:r w:rsidR="00E5651F" w:rsidRPr="00E0700C">
              <w:rPr>
                <w:rFonts w:ascii="Times New Roman" w:hAnsi="Times New Roman" w:cs="Times New Roman"/>
                <w:sz w:val="24"/>
                <w:szCs w:val="24"/>
              </w:rPr>
              <w:t>pagrįstus</w:t>
            </w:r>
            <w:r w:rsidRPr="00E0700C">
              <w:rPr>
                <w:rFonts w:ascii="Times New Roman" w:hAnsi="Times New Roman" w:cs="Times New Roman"/>
                <w:sz w:val="24"/>
                <w:szCs w:val="24"/>
              </w:rPr>
              <w:t xml:space="preserve"> </w:t>
            </w:r>
            <w:r w:rsidR="000768ED">
              <w:rPr>
                <w:rFonts w:ascii="Times New Roman" w:hAnsi="Times New Roman" w:cs="Times New Roman"/>
                <w:sz w:val="24"/>
                <w:szCs w:val="24"/>
              </w:rPr>
              <w:t xml:space="preserve">dotacijų gavėjų </w:t>
            </w:r>
            <w:r w:rsidRPr="00E0700C">
              <w:rPr>
                <w:rFonts w:ascii="Times New Roman" w:hAnsi="Times New Roman" w:cs="Times New Roman"/>
                <w:sz w:val="24"/>
                <w:szCs w:val="24"/>
              </w:rPr>
              <w:t>prašymus bus rengiami dotacijos sutarčių pakeitimai suderintam laikotarpiui.</w:t>
            </w:r>
          </w:p>
        </w:tc>
      </w:tr>
      <w:tr w:rsidR="007C6342" w:rsidRPr="00E0700C" w14:paraId="090679E1" w14:textId="77777777" w:rsidTr="00B55917">
        <w:tc>
          <w:tcPr>
            <w:tcW w:w="2842" w:type="dxa"/>
          </w:tcPr>
          <w:p w14:paraId="650A35B9" w14:textId="77777777" w:rsidR="007C6342" w:rsidRPr="00BD2536" w:rsidRDefault="007C6342" w:rsidP="007C6342">
            <w:pPr>
              <w:pStyle w:val="ListParagraph"/>
              <w:numPr>
                <w:ilvl w:val="0"/>
                <w:numId w:val="11"/>
              </w:numPr>
              <w:tabs>
                <w:tab w:val="left" w:pos="313"/>
              </w:tabs>
              <w:ind w:left="0" w:firstLine="0"/>
              <w:rPr>
                <w:rFonts w:ascii="Times New Roman" w:hAnsi="Times New Roman" w:cs="Times New Roman"/>
                <w:color w:val="000000" w:themeColor="text1"/>
                <w:sz w:val="24"/>
                <w:szCs w:val="24"/>
              </w:rPr>
            </w:pPr>
            <w:r w:rsidRPr="00E0700C">
              <w:rPr>
                <w:rFonts w:ascii="Times New Roman" w:hAnsi="Times New Roman" w:cs="Times New Roman"/>
                <w:sz w:val="24"/>
                <w:szCs w:val="24"/>
              </w:rPr>
              <w:lastRenderedPageBreak/>
              <w:t xml:space="preserve">Kaip </w:t>
            </w:r>
            <w:r w:rsidRPr="00E0700C">
              <w:rPr>
                <w:rFonts w:ascii="Times New Roman" w:hAnsi="Times New Roman" w:cs="Times New Roman"/>
                <w:i/>
                <w:sz w:val="24"/>
                <w:szCs w:val="24"/>
              </w:rPr>
              <w:t>force majeure</w:t>
            </w:r>
            <w:r w:rsidRPr="00E0700C">
              <w:rPr>
                <w:rFonts w:ascii="Times New Roman" w:hAnsi="Times New Roman" w:cs="Times New Roman"/>
                <w:sz w:val="24"/>
                <w:szCs w:val="24"/>
              </w:rPr>
              <w:t xml:space="preserve"> atveju dokumentuoti nuostolius ir fiksuoti besimokančiųjų ir/arba darbuotojų mobilumą </w:t>
            </w:r>
            <w:r w:rsidR="00333E45">
              <w:rPr>
                <w:rFonts w:ascii="Times New Roman" w:hAnsi="Times New Roman" w:cs="Times New Roman"/>
                <w:sz w:val="24"/>
                <w:szCs w:val="24"/>
              </w:rPr>
              <w:t>„</w:t>
            </w:r>
            <w:r w:rsidRPr="00E0700C">
              <w:rPr>
                <w:rFonts w:ascii="Times New Roman" w:hAnsi="Times New Roman" w:cs="Times New Roman"/>
                <w:sz w:val="24"/>
                <w:szCs w:val="24"/>
              </w:rPr>
              <w:t xml:space="preserve">Mobility </w:t>
            </w:r>
            <w:proofErr w:type="spellStart"/>
            <w:r w:rsidRPr="00E0700C">
              <w:rPr>
                <w:rFonts w:ascii="Times New Roman" w:hAnsi="Times New Roman" w:cs="Times New Roman"/>
                <w:sz w:val="24"/>
                <w:szCs w:val="24"/>
              </w:rPr>
              <w:t>Tool</w:t>
            </w:r>
            <w:proofErr w:type="spellEnd"/>
            <w:r w:rsidRPr="00E0700C">
              <w:rPr>
                <w:rFonts w:ascii="Times New Roman" w:hAnsi="Times New Roman" w:cs="Times New Roman"/>
                <w:sz w:val="24"/>
                <w:szCs w:val="24"/>
              </w:rPr>
              <w:t>+“ sistemoje KA1, KA2 projektuose?</w:t>
            </w:r>
          </w:p>
          <w:p w14:paraId="24BCBABC" w14:textId="1C5FC288" w:rsidR="00BD2536" w:rsidRPr="00E0700C" w:rsidRDefault="00BD2536" w:rsidP="00BD2536">
            <w:pPr>
              <w:pStyle w:val="ListParagraph"/>
              <w:tabs>
                <w:tab w:val="left" w:pos="313"/>
              </w:tabs>
              <w:ind w:left="0"/>
              <w:rPr>
                <w:rFonts w:ascii="Times New Roman" w:hAnsi="Times New Roman" w:cs="Times New Roman"/>
                <w:color w:val="000000" w:themeColor="text1"/>
                <w:sz w:val="24"/>
                <w:szCs w:val="24"/>
              </w:rPr>
            </w:pPr>
          </w:p>
        </w:tc>
        <w:tc>
          <w:tcPr>
            <w:tcW w:w="6786" w:type="dxa"/>
          </w:tcPr>
          <w:p w14:paraId="775473CB" w14:textId="77777777" w:rsidR="00AA34FD" w:rsidRPr="00E0700C" w:rsidRDefault="007C6342" w:rsidP="008969DE">
            <w:pPr>
              <w:pStyle w:val="ListParagraph"/>
              <w:numPr>
                <w:ilvl w:val="0"/>
                <w:numId w:val="8"/>
              </w:numPr>
              <w:tabs>
                <w:tab w:val="left" w:pos="318"/>
              </w:tabs>
              <w:spacing w:after="120"/>
              <w:ind w:left="29" w:hanging="4"/>
              <w:jc w:val="both"/>
              <w:rPr>
                <w:rFonts w:ascii="Times New Roman" w:hAnsi="Times New Roman" w:cs="Times New Roman"/>
                <w:color w:val="000000" w:themeColor="text1"/>
                <w:sz w:val="24"/>
                <w:szCs w:val="24"/>
              </w:rPr>
            </w:pPr>
            <w:r w:rsidRPr="00E0700C">
              <w:rPr>
                <w:rFonts w:ascii="Times New Roman" w:hAnsi="Times New Roman" w:cs="Times New Roman"/>
                <w:color w:val="000000" w:themeColor="text1"/>
                <w:sz w:val="24"/>
                <w:szCs w:val="24"/>
              </w:rPr>
              <w:t xml:space="preserve"> Būtinai išsaugokite dokumentus,</w:t>
            </w:r>
            <w:r w:rsidR="00366019" w:rsidRPr="00E0700C">
              <w:rPr>
                <w:rFonts w:ascii="Times New Roman" w:hAnsi="Times New Roman" w:cs="Times New Roman"/>
                <w:color w:val="000000" w:themeColor="text1"/>
                <w:sz w:val="24"/>
                <w:szCs w:val="24"/>
              </w:rPr>
              <w:t xml:space="preserve"> </w:t>
            </w:r>
            <w:r w:rsidRPr="00E0700C">
              <w:rPr>
                <w:rFonts w:ascii="Times New Roman" w:hAnsi="Times New Roman" w:cs="Times New Roman"/>
                <w:color w:val="000000" w:themeColor="text1"/>
                <w:sz w:val="24"/>
                <w:szCs w:val="24"/>
              </w:rPr>
              <w:t xml:space="preserve">pagrindžiančius </w:t>
            </w:r>
            <w:r w:rsidRPr="00E0700C">
              <w:rPr>
                <w:rFonts w:ascii="Times New Roman" w:hAnsi="Times New Roman" w:cs="Times New Roman"/>
                <w:i/>
                <w:color w:val="000000" w:themeColor="text1"/>
                <w:sz w:val="24"/>
                <w:szCs w:val="24"/>
              </w:rPr>
              <w:t>force majeure</w:t>
            </w:r>
            <w:r w:rsidRPr="00E0700C">
              <w:rPr>
                <w:rFonts w:ascii="Times New Roman" w:hAnsi="Times New Roman" w:cs="Times New Roman"/>
                <w:color w:val="000000" w:themeColor="text1"/>
                <w:sz w:val="24"/>
                <w:szCs w:val="24"/>
              </w:rPr>
              <w:t xml:space="preserve"> atvejį (oficialių Lietuvos ir atitinkamos šalies rekomendacijų momentines ekrano kopijas (angl. </w:t>
            </w:r>
            <w:proofErr w:type="spellStart"/>
            <w:r w:rsidRPr="00E0700C">
              <w:rPr>
                <w:rFonts w:ascii="Times New Roman" w:hAnsi="Times New Roman" w:cs="Times New Roman"/>
                <w:i/>
                <w:color w:val="000000" w:themeColor="text1"/>
                <w:sz w:val="24"/>
                <w:szCs w:val="24"/>
              </w:rPr>
              <w:t>printscreens</w:t>
            </w:r>
            <w:proofErr w:type="spellEnd"/>
            <w:r w:rsidRPr="00E0700C">
              <w:rPr>
                <w:rFonts w:ascii="Times New Roman" w:hAnsi="Times New Roman" w:cs="Times New Roman"/>
                <w:i/>
                <w:color w:val="000000" w:themeColor="text1"/>
                <w:sz w:val="24"/>
                <w:szCs w:val="24"/>
              </w:rPr>
              <w:t>)</w:t>
            </w:r>
            <w:r w:rsidRPr="00E0700C">
              <w:rPr>
                <w:rFonts w:ascii="Times New Roman" w:hAnsi="Times New Roman" w:cs="Times New Roman"/>
                <w:color w:val="000000" w:themeColor="text1"/>
                <w:sz w:val="24"/>
                <w:szCs w:val="24"/>
              </w:rPr>
              <w:t>, partnerių atsisakymą dalyvauti/priimti mobilumuose ir pan.).</w:t>
            </w:r>
          </w:p>
          <w:p w14:paraId="7DEB271B" w14:textId="77777777" w:rsidR="008969DE" w:rsidRPr="00E0700C" w:rsidRDefault="008969DE" w:rsidP="008969DE">
            <w:pPr>
              <w:pStyle w:val="ListParagraph"/>
              <w:numPr>
                <w:ilvl w:val="0"/>
                <w:numId w:val="8"/>
              </w:numPr>
              <w:tabs>
                <w:tab w:val="left" w:pos="318"/>
              </w:tabs>
              <w:spacing w:after="120"/>
              <w:ind w:left="29" w:hanging="4"/>
              <w:jc w:val="both"/>
              <w:rPr>
                <w:rFonts w:ascii="Times New Roman" w:hAnsi="Times New Roman" w:cs="Times New Roman"/>
                <w:color w:val="000000" w:themeColor="text1"/>
                <w:sz w:val="24"/>
                <w:szCs w:val="24"/>
              </w:rPr>
            </w:pPr>
            <w:r w:rsidRPr="00E0700C">
              <w:rPr>
                <w:rFonts w:ascii="Times New Roman" w:hAnsi="Times New Roman" w:cs="Times New Roman"/>
                <w:color w:val="000000" w:themeColor="text1"/>
                <w:sz w:val="24"/>
                <w:szCs w:val="24"/>
              </w:rPr>
              <w:t xml:space="preserve">Atlikite visus reikalingus veiksmus, siekiant susigrąžinti patirtus nuostolius už neįvykusius mobilumus ar kitas projekto veiklas, ir tai dokumentuokite (pvz., kreipimasis raštu į kelionių agentūrą, viešbutį, kursų organizatorių dėl lėšų grąžinimo už nesuteiktas paslaugas, prašymas grąžinti užstatą už nuomojamą būstą ir pan.). Jeigu patirtus nuostolius atsisako kompensuoti paslaugų teikėjai, galima kreiptis patarimo į Europos vartotojų centrą Lietuvoje  </w:t>
            </w:r>
            <w:hyperlink r:id="rId8" w:history="1">
              <w:r w:rsidR="00AA34FD" w:rsidRPr="00E0700C">
                <w:rPr>
                  <w:rStyle w:val="Hyperlink"/>
                  <w:rFonts w:ascii="Times New Roman" w:hAnsi="Times New Roman" w:cs="Times New Roman"/>
                  <w:sz w:val="24"/>
                  <w:szCs w:val="24"/>
                </w:rPr>
                <w:t>https://www.ecc.lt/lt/</w:t>
              </w:r>
            </w:hyperlink>
            <w:r w:rsidRPr="00E0700C">
              <w:rPr>
                <w:rFonts w:ascii="Times New Roman" w:hAnsi="Times New Roman" w:cs="Times New Roman"/>
                <w:color w:val="000000" w:themeColor="text1"/>
                <w:sz w:val="24"/>
                <w:szCs w:val="24"/>
              </w:rPr>
              <w:t>.</w:t>
            </w:r>
          </w:p>
          <w:p w14:paraId="41483A75" w14:textId="3A13A263" w:rsidR="007C6342" w:rsidRPr="00E0700C" w:rsidRDefault="007C6342" w:rsidP="00366019">
            <w:pPr>
              <w:pStyle w:val="ListParagraph"/>
              <w:numPr>
                <w:ilvl w:val="0"/>
                <w:numId w:val="8"/>
              </w:numPr>
              <w:tabs>
                <w:tab w:val="left" w:pos="318"/>
              </w:tabs>
              <w:spacing w:after="120"/>
              <w:ind w:left="29" w:hanging="4"/>
              <w:jc w:val="both"/>
              <w:rPr>
                <w:rFonts w:ascii="Times New Roman" w:hAnsi="Times New Roman" w:cs="Times New Roman"/>
                <w:color w:val="000000" w:themeColor="text1"/>
                <w:sz w:val="24"/>
                <w:szCs w:val="24"/>
              </w:rPr>
            </w:pPr>
            <w:r w:rsidRPr="00E0700C">
              <w:rPr>
                <w:rFonts w:ascii="Times New Roman" w:hAnsi="Times New Roman" w:cs="Times New Roman"/>
                <w:color w:val="000000" w:themeColor="text1"/>
                <w:sz w:val="24"/>
                <w:szCs w:val="24"/>
              </w:rPr>
              <w:t xml:space="preserve">„Mobility </w:t>
            </w:r>
            <w:proofErr w:type="spellStart"/>
            <w:r w:rsidRPr="00E0700C">
              <w:rPr>
                <w:rFonts w:ascii="Times New Roman" w:hAnsi="Times New Roman" w:cs="Times New Roman"/>
                <w:color w:val="000000" w:themeColor="text1"/>
                <w:sz w:val="24"/>
                <w:szCs w:val="24"/>
              </w:rPr>
              <w:t>Tool</w:t>
            </w:r>
            <w:proofErr w:type="spellEnd"/>
            <w:r w:rsidRPr="00E0700C">
              <w:rPr>
                <w:rFonts w:ascii="Times New Roman" w:hAnsi="Times New Roman" w:cs="Times New Roman"/>
                <w:color w:val="000000" w:themeColor="text1"/>
                <w:sz w:val="24"/>
                <w:szCs w:val="24"/>
              </w:rPr>
              <w:t>+“ sistemoje, mobilumo</w:t>
            </w:r>
            <w:r w:rsidR="00366019" w:rsidRPr="00E0700C">
              <w:rPr>
                <w:rFonts w:ascii="Times New Roman" w:hAnsi="Times New Roman" w:cs="Times New Roman"/>
                <w:color w:val="000000" w:themeColor="text1"/>
                <w:sz w:val="24"/>
                <w:szCs w:val="24"/>
              </w:rPr>
              <w:t xml:space="preserve"> </w:t>
            </w:r>
            <w:r w:rsidRPr="00E0700C">
              <w:rPr>
                <w:rFonts w:ascii="Times New Roman" w:hAnsi="Times New Roman" w:cs="Times New Roman"/>
                <w:color w:val="000000" w:themeColor="text1"/>
                <w:sz w:val="24"/>
                <w:szCs w:val="24"/>
              </w:rPr>
              <w:t xml:space="preserve">dalyvio kortelėje fiksuokite </w:t>
            </w:r>
            <w:r w:rsidRPr="00E0700C">
              <w:rPr>
                <w:rFonts w:ascii="Times New Roman" w:hAnsi="Times New Roman" w:cs="Times New Roman"/>
                <w:i/>
                <w:color w:val="000000" w:themeColor="text1"/>
                <w:sz w:val="24"/>
                <w:szCs w:val="24"/>
              </w:rPr>
              <w:t>force majeure</w:t>
            </w:r>
            <w:r w:rsidRPr="00E0700C">
              <w:rPr>
                <w:rFonts w:ascii="Times New Roman" w:hAnsi="Times New Roman" w:cs="Times New Roman"/>
                <w:color w:val="000000" w:themeColor="text1"/>
                <w:sz w:val="24"/>
                <w:szCs w:val="24"/>
              </w:rPr>
              <w:t xml:space="preserve"> atvejį. Tuomet „Mobility </w:t>
            </w:r>
            <w:proofErr w:type="spellStart"/>
            <w:r w:rsidRPr="00E0700C">
              <w:rPr>
                <w:rFonts w:ascii="Times New Roman" w:hAnsi="Times New Roman" w:cs="Times New Roman"/>
                <w:color w:val="000000" w:themeColor="text1"/>
                <w:sz w:val="24"/>
                <w:szCs w:val="24"/>
              </w:rPr>
              <w:t>Tool</w:t>
            </w:r>
            <w:proofErr w:type="spellEnd"/>
            <w:r w:rsidRPr="00E0700C">
              <w:rPr>
                <w:rFonts w:ascii="Times New Roman" w:hAnsi="Times New Roman" w:cs="Times New Roman"/>
                <w:color w:val="000000" w:themeColor="text1"/>
                <w:sz w:val="24"/>
                <w:szCs w:val="24"/>
              </w:rPr>
              <w:t xml:space="preserve">+“ sistema leis laisvai koreguoti duomenis: pakoreguokite veiklos trukmę, mobilumo biudžeto dalyje ranka įveskite faktines mobilumo dalyvio patirtas išlaidas už kelionę ir pragyvenimo išlaidas, pastabose </w:t>
            </w:r>
            <w:r w:rsidR="00AA34FD" w:rsidRPr="00E0700C">
              <w:rPr>
                <w:rFonts w:ascii="Times New Roman" w:hAnsi="Times New Roman" w:cs="Times New Roman"/>
                <w:color w:val="000000" w:themeColor="text1"/>
                <w:sz w:val="24"/>
                <w:szCs w:val="24"/>
              </w:rPr>
              <w:t>būtinai pateikite paaiškinimą naudojant žodžius „COVID-19“ arba „</w:t>
            </w:r>
            <w:proofErr w:type="spellStart"/>
            <w:r w:rsidR="00AA34FD" w:rsidRPr="00E0700C">
              <w:rPr>
                <w:rFonts w:ascii="Times New Roman" w:hAnsi="Times New Roman" w:cs="Times New Roman"/>
                <w:color w:val="000000" w:themeColor="text1"/>
                <w:sz w:val="24"/>
                <w:szCs w:val="24"/>
              </w:rPr>
              <w:t>Coronavirus</w:t>
            </w:r>
            <w:proofErr w:type="spellEnd"/>
            <w:r w:rsidR="00AA34FD" w:rsidRPr="00E0700C">
              <w:rPr>
                <w:rFonts w:ascii="Times New Roman" w:hAnsi="Times New Roman" w:cs="Times New Roman"/>
                <w:color w:val="000000" w:themeColor="text1"/>
                <w:sz w:val="24"/>
                <w:szCs w:val="24"/>
              </w:rPr>
              <w:t>“</w:t>
            </w:r>
            <w:r w:rsidRPr="00E0700C">
              <w:rPr>
                <w:rFonts w:ascii="Times New Roman" w:hAnsi="Times New Roman" w:cs="Times New Roman"/>
                <w:color w:val="000000" w:themeColor="text1"/>
                <w:sz w:val="24"/>
                <w:szCs w:val="24"/>
              </w:rPr>
              <w:t>.</w:t>
            </w:r>
            <w:r w:rsidRPr="00E87963">
              <w:rPr>
                <w:rFonts w:ascii="Times New Roman" w:hAnsi="Times New Roman" w:cs="Times New Roman"/>
                <w:sz w:val="24"/>
                <w:szCs w:val="24"/>
              </w:rPr>
              <w:t xml:space="preserve"> </w:t>
            </w:r>
            <w:r w:rsidRPr="00E0700C">
              <w:rPr>
                <w:rFonts w:ascii="Times New Roman" w:hAnsi="Times New Roman" w:cs="Times New Roman"/>
                <w:color w:val="000000" w:themeColor="text1"/>
                <w:sz w:val="24"/>
                <w:szCs w:val="24"/>
              </w:rPr>
              <w:t>Kada tik įmanoma, išlaidas deklaruokite pagal EK nustatytas normas – tiek kelionės išlaidoms, tiek dalyvių pragyvenimui.</w:t>
            </w:r>
          </w:p>
          <w:p w14:paraId="530BDC12" w14:textId="13776830" w:rsidR="007C6342" w:rsidRPr="00E0700C" w:rsidRDefault="007C6342" w:rsidP="007C6342">
            <w:pPr>
              <w:tabs>
                <w:tab w:val="left" w:pos="318"/>
              </w:tabs>
              <w:spacing w:after="120"/>
              <w:jc w:val="both"/>
              <w:rPr>
                <w:rFonts w:ascii="Times New Roman" w:hAnsi="Times New Roman" w:cs="Times New Roman"/>
                <w:color w:val="000000" w:themeColor="text1"/>
                <w:sz w:val="24"/>
                <w:szCs w:val="24"/>
              </w:rPr>
            </w:pPr>
            <w:r w:rsidRPr="00E0700C">
              <w:rPr>
                <w:rFonts w:ascii="Times New Roman" w:hAnsi="Times New Roman" w:cs="Times New Roman"/>
                <w:color w:val="000000" w:themeColor="text1"/>
                <w:sz w:val="24"/>
                <w:szCs w:val="24"/>
              </w:rPr>
              <w:t xml:space="preserve">Išsamios, Europos Komisijos parengtos gairės kaip </w:t>
            </w:r>
            <w:r w:rsidRPr="00E0700C">
              <w:rPr>
                <w:rFonts w:ascii="Times New Roman" w:hAnsi="Times New Roman" w:cs="Times New Roman"/>
                <w:i/>
                <w:color w:val="000000" w:themeColor="text1"/>
                <w:sz w:val="24"/>
                <w:szCs w:val="24"/>
              </w:rPr>
              <w:t>force majeure</w:t>
            </w:r>
            <w:r w:rsidRPr="00E0700C">
              <w:rPr>
                <w:rFonts w:ascii="Times New Roman" w:hAnsi="Times New Roman" w:cs="Times New Roman"/>
                <w:color w:val="000000" w:themeColor="text1"/>
                <w:sz w:val="24"/>
                <w:szCs w:val="24"/>
              </w:rPr>
              <w:t xml:space="preserve"> atveju fiksuoti </w:t>
            </w:r>
            <w:proofErr w:type="spellStart"/>
            <w:r w:rsidRPr="00E0700C">
              <w:rPr>
                <w:rFonts w:ascii="Times New Roman" w:hAnsi="Times New Roman" w:cs="Times New Roman"/>
                <w:color w:val="000000" w:themeColor="text1"/>
                <w:sz w:val="24"/>
                <w:szCs w:val="24"/>
              </w:rPr>
              <w:t>mobilumus</w:t>
            </w:r>
            <w:proofErr w:type="spellEnd"/>
            <w:r w:rsidRPr="00E0700C">
              <w:rPr>
                <w:rFonts w:ascii="Times New Roman" w:hAnsi="Times New Roman" w:cs="Times New Roman"/>
                <w:color w:val="000000" w:themeColor="text1"/>
                <w:sz w:val="24"/>
                <w:szCs w:val="24"/>
              </w:rPr>
              <w:t xml:space="preserve"> „Mobility </w:t>
            </w:r>
            <w:proofErr w:type="spellStart"/>
            <w:r w:rsidRPr="00E0700C">
              <w:rPr>
                <w:rFonts w:ascii="Times New Roman" w:hAnsi="Times New Roman" w:cs="Times New Roman"/>
                <w:color w:val="000000" w:themeColor="text1"/>
                <w:sz w:val="24"/>
                <w:szCs w:val="24"/>
              </w:rPr>
              <w:t>Tool</w:t>
            </w:r>
            <w:proofErr w:type="spellEnd"/>
            <w:r w:rsidRPr="00E0700C">
              <w:rPr>
                <w:rFonts w:ascii="Times New Roman" w:hAnsi="Times New Roman" w:cs="Times New Roman"/>
                <w:color w:val="000000" w:themeColor="text1"/>
                <w:sz w:val="24"/>
                <w:szCs w:val="24"/>
              </w:rPr>
              <w:t xml:space="preserve">+“ sistemoje skelbiamos šioje </w:t>
            </w:r>
            <w:hyperlink r:id="rId9" w:history="1">
              <w:r w:rsidR="00514B8E" w:rsidRPr="00514B8E">
                <w:rPr>
                  <w:rStyle w:val="Hyperlink"/>
                  <w:rFonts w:ascii="Times New Roman" w:hAnsi="Times New Roman" w:cs="Times New Roman"/>
                  <w:sz w:val="24"/>
                  <w:szCs w:val="24"/>
                </w:rPr>
                <w:t>nuorodoje.</w:t>
              </w:r>
            </w:hyperlink>
          </w:p>
        </w:tc>
      </w:tr>
      <w:tr w:rsidR="007C6342" w:rsidRPr="00E0700C" w14:paraId="1742A18E" w14:textId="77777777" w:rsidTr="00B55917">
        <w:tc>
          <w:tcPr>
            <w:tcW w:w="2842" w:type="dxa"/>
          </w:tcPr>
          <w:p w14:paraId="7F50CEFC" w14:textId="77777777" w:rsidR="007C6342" w:rsidRDefault="007C6342" w:rsidP="007C6342">
            <w:pPr>
              <w:pStyle w:val="ListParagraph"/>
              <w:numPr>
                <w:ilvl w:val="0"/>
                <w:numId w:val="11"/>
              </w:numPr>
              <w:tabs>
                <w:tab w:val="left" w:pos="313"/>
              </w:tabs>
              <w:ind w:left="0" w:firstLine="0"/>
              <w:rPr>
                <w:rFonts w:ascii="Times New Roman" w:hAnsi="Times New Roman" w:cs="Times New Roman"/>
                <w:sz w:val="24"/>
                <w:szCs w:val="24"/>
              </w:rPr>
            </w:pPr>
            <w:r w:rsidRPr="00E0700C">
              <w:rPr>
                <w:rFonts w:ascii="Times New Roman" w:hAnsi="Times New Roman" w:cs="Times New Roman"/>
                <w:sz w:val="24"/>
                <w:szCs w:val="24"/>
              </w:rPr>
              <w:t>Ar bus didinama projekto dotacija dėl patirtų papildomų išlaidų?</w:t>
            </w:r>
          </w:p>
          <w:p w14:paraId="587E7053" w14:textId="20B68BBD" w:rsidR="00BD2536" w:rsidRPr="00E0700C" w:rsidRDefault="00BD2536" w:rsidP="00BD2536">
            <w:pPr>
              <w:pStyle w:val="ListParagraph"/>
              <w:tabs>
                <w:tab w:val="left" w:pos="313"/>
              </w:tabs>
              <w:ind w:left="0"/>
              <w:rPr>
                <w:rFonts w:ascii="Times New Roman" w:hAnsi="Times New Roman" w:cs="Times New Roman"/>
                <w:sz w:val="24"/>
                <w:szCs w:val="24"/>
              </w:rPr>
            </w:pPr>
          </w:p>
        </w:tc>
        <w:tc>
          <w:tcPr>
            <w:tcW w:w="6786" w:type="dxa"/>
          </w:tcPr>
          <w:p w14:paraId="05A7F3DA" w14:textId="77777777" w:rsidR="007C6342" w:rsidRPr="00E0700C" w:rsidRDefault="007C6342" w:rsidP="007C6342">
            <w:pPr>
              <w:tabs>
                <w:tab w:val="left" w:pos="318"/>
              </w:tabs>
              <w:spacing w:after="120"/>
              <w:jc w:val="both"/>
              <w:rPr>
                <w:rFonts w:ascii="Times New Roman" w:hAnsi="Times New Roman" w:cs="Times New Roman"/>
                <w:color w:val="000000" w:themeColor="text1"/>
                <w:sz w:val="24"/>
                <w:szCs w:val="24"/>
              </w:rPr>
            </w:pPr>
            <w:r w:rsidRPr="00E0700C">
              <w:rPr>
                <w:rFonts w:ascii="Times New Roman" w:hAnsi="Times New Roman" w:cs="Times New Roman"/>
                <w:color w:val="000000" w:themeColor="text1"/>
                <w:sz w:val="24"/>
                <w:szCs w:val="24"/>
              </w:rPr>
              <w:t>Visais atvejais kompensuojamų išlaidų dydis negali viršyti skirtos dotacijos institucijai, kuri nebus didinama.</w:t>
            </w:r>
          </w:p>
        </w:tc>
      </w:tr>
      <w:tr w:rsidR="003E5723" w:rsidRPr="00E0700C" w14:paraId="748B939D" w14:textId="77777777" w:rsidTr="00B55917">
        <w:tc>
          <w:tcPr>
            <w:tcW w:w="2842" w:type="dxa"/>
          </w:tcPr>
          <w:p w14:paraId="1CF96CDA" w14:textId="6A4B237D" w:rsidR="003E5723" w:rsidRPr="003E5723" w:rsidRDefault="003E5723" w:rsidP="003E5723">
            <w:pPr>
              <w:pStyle w:val="ListParagraph"/>
              <w:numPr>
                <w:ilvl w:val="0"/>
                <w:numId w:val="11"/>
              </w:numPr>
              <w:tabs>
                <w:tab w:val="left" w:pos="313"/>
              </w:tabs>
              <w:ind w:left="29" w:firstLine="0"/>
              <w:rPr>
                <w:rFonts w:ascii="Times New Roman" w:hAnsi="Times New Roman" w:cs="Times New Roman"/>
                <w:color w:val="000000" w:themeColor="text1"/>
                <w:sz w:val="24"/>
                <w:szCs w:val="24"/>
              </w:rPr>
            </w:pPr>
            <w:r w:rsidRPr="003E5723">
              <w:rPr>
                <w:rFonts w:ascii="Times New Roman" w:hAnsi="Times New Roman" w:cs="Times New Roman"/>
                <w:color w:val="000000" w:themeColor="text1"/>
                <w:sz w:val="24"/>
                <w:szCs w:val="24"/>
              </w:rPr>
              <w:t xml:space="preserve">Ar dėl </w:t>
            </w:r>
            <w:r w:rsidRPr="003E5723">
              <w:rPr>
                <w:rFonts w:ascii="Times New Roman" w:hAnsi="Times New Roman" w:cs="Times New Roman"/>
                <w:i/>
                <w:color w:val="000000" w:themeColor="text1"/>
                <w:sz w:val="24"/>
                <w:szCs w:val="24"/>
              </w:rPr>
              <w:t>force majeure</w:t>
            </w:r>
            <w:r w:rsidRPr="003E5723">
              <w:rPr>
                <w:rFonts w:ascii="Times New Roman" w:hAnsi="Times New Roman" w:cs="Times New Roman"/>
                <w:color w:val="000000" w:themeColor="text1"/>
                <w:sz w:val="24"/>
                <w:szCs w:val="24"/>
              </w:rPr>
              <w:t xml:space="preserve"> nutraukus mobilumą reikės sugrąžinti stipendijos</w:t>
            </w:r>
            <w:r w:rsidR="00874C38">
              <w:rPr>
                <w:rFonts w:ascii="Times New Roman" w:hAnsi="Times New Roman" w:cs="Times New Roman"/>
                <w:color w:val="000000" w:themeColor="text1"/>
                <w:sz w:val="24"/>
                <w:szCs w:val="24"/>
              </w:rPr>
              <w:t>/pragyvenimo išlaidų</w:t>
            </w:r>
            <w:r w:rsidRPr="003E5723">
              <w:rPr>
                <w:rFonts w:ascii="Times New Roman" w:hAnsi="Times New Roman" w:cs="Times New Roman"/>
                <w:color w:val="000000" w:themeColor="text1"/>
                <w:sz w:val="24"/>
                <w:szCs w:val="24"/>
              </w:rPr>
              <w:t xml:space="preserve"> dalį už neišbūtą laikotarpį?</w:t>
            </w:r>
          </w:p>
          <w:p w14:paraId="72EA08E4" w14:textId="371E3F13" w:rsidR="003E5723" w:rsidRPr="00E0700C" w:rsidRDefault="003E5723" w:rsidP="003E5723">
            <w:pPr>
              <w:pStyle w:val="ListParagraph"/>
              <w:tabs>
                <w:tab w:val="left" w:pos="313"/>
              </w:tabs>
              <w:ind w:left="0"/>
              <w:rPr>
                <w:rFonts w:ascii="Times New Roman" w:hAnsi="Times New Roman" w:cs="Times New Roman"/>
                <w:sz w:val="24"/>
                <w:szCs w:val="24"/>
              </w:rPr>
            </w:pPr>
          </w:p>
        </w:tc>
        <w:tc>
          <w:tcPr>
            <w:tcW w:w="6786" w:type="dxa"/>
          </w:tcPr>
          <w:p w14:paraId="30A5D8F5" w14:textId="6BBC9B61" w:rsidR="003E5723" w:rsidRPr="00E0700C" w:rsidRDefault="003E5723" w:rsidP="003E5723">
            <w:pPr>
              <w:pStyle w:val="ListParagraph"/>
              <w:numPr>
                <w:ilvl w:val="0"/>
                <w:numId w:val="14"/>
              </w:numPr>
              <w:spacing w:after="120"/>
              <w:ind w:left="301"/>
              <w:jc w:val="both"/>
              <w:rPr>
                <w:rFonts w:ascii="Times New Roman" w:hAnsi="Times New Roman" w:cs="Times New Roman"/>
                <w:color w:val="000000" w:themeColor="text1"/>
                <w:sz w:val="24"/>
                <w:szCs w:val="24"/>
              </w:rPr>
            </w:pPr>
            <w:r w:rsidRPr="00E0700C">
              <w:rPr>
                <w:rFonts w:ascii="Times New Roman" w:hAnsi="Times New Roman" w:cs="Times New Roman"/>
                <w:color w:val="000000" w:themeColor="text1"/>
                <w:sz w:val="24"/>
                <w:szCs w:val="24"/>
              </w:rPr>
              <w:t xml:space="preserve">Tais atvejais, kai </w:t>
            </w:r>
            <w:r w:rsidRPr="00E0700C">
              <w:rPr>
                <w:rFonts w:ascii="Times New Roman" w:hAnsi="Times New Roman" w:cs="Times New Roman"/>
                <w:b/>
                <w:color w:val="000000" w:themeColor="text1"/>
                <w:sz w:val="24"/>
                <w:szCs w:val="24"/>
              </w:rPr>
              <w:t>neplanuojama atidėti mobilumo laikotarpio vėlesniam laikui ir jį tęsti  priimančiajai institucijai informavus apie veiklų atnaujinimą</w:t>
            </w:r>
            <w:r w:rsidRPr="00E0700C">
              <w:rPr>
                <w:rFonts w:ascii="Times New Roman" w:hAnsi="Times New Roman" w:cs="Times New Roman"/>
                <w:color w:val="000000" w:themeColor="text1"/>
                <w:sz w:val="24"/>
                <w:szCs w:val="24"/>
              </w:rPr>
              <w:t xml:space="preserve"> bei, </w:t>
            </w:r>
            <w:r w:rsidRPr="00E0700C">
              <w:rPr>
                <w:rFonts w:ascii="Times New Roman" w:hAnsi="Times New Roman" w:cs="Times New Roman"/>
                <w:b/>
                <w:color w:val="000000" w:themeColor="text1"/>
                <w:sz w:val="24"/>
                <w:szCs w:val="24"/>
              </w:rPr>
              <w:t>kai neplanuojama tęsti mobilumo nuotoliniu</w:t>
            </w:r>
            <w:r w:rsidRPr="00E0700C">
              <w:rPr>
                <w:rFonts w:ascii="Times New Roman" w:hAnsi="Times New Roman" w:cs="Times New Roman"/>
                <w:color w:val="000000" w:themeColor="text1"/>
                <w:sz w:val="24"/>
                <w:szCs w:val="24"/>
              </w:rPr>
              <w:t xml:space="preserve"> būdu, mobilumo laikotarpis gali būti nutrauktas. Nutraukus mobilumo laikotarpį turėtų būti perskaičiuotas stipendijos</w:t>
            </w:r>
            <w:r w:rsidR="00DB1DF2">
              <w:rPr>
                <w:rFonts w:ascii="Times New Roman" w:hAnsi="Times New Roman" w:cs="Times New Roman"/>
                <w:color w:val="000000" w:themeColor="text1"/>
                <w:sz w:val="24"/>
                <w:szCs w:val="24"/>
              </w:rPr>
              <w:t>/pragyvenimo išlaidų</w:t>
            </w:r>
            <w:r w:rsidRPr="00E0700C">
              <w:rPr>
                <w:rFonts w:ascii="Times New Roman" w:hAnsi="Times New Roman" w:cs="Times New Roman"/>
                <w:color w:val="000000" w:themeColor="text1"/>
                <w:sz w:val="24"/>
                <w:szCs w:val="24"/>
              </w:rPr>
              <w:t xml:space="preserve"> dydis. Už neišbūtą laikotarpį stipendijos</w:t>
            </w:r>
            <w:r w:rsidR="00DB1DF2" w:rsidRPr="00DB1DF2">
              <w:rPr>
                <w:rFonts w:ascii="Times New Roman" w:hAnsi="Times New Roman" w:cs="Times New Roman"/>
                <w:color w:val="000000" w:themeColor="text1"/>
                <w:sz w:val="24"/>
                <w:szCs w:val="24"/>
              </w:rPr>
              <w:t>/pragyvenimo išlaidų</w:t>
            </w:r>
            <w:r w:rsidRPr="00E0700C">
              <w:rPr>
                <w:rFonts w:ascii="Times New Roman" w:hAnsi="Times New Roman" w:cs="Times New Roman"/>
                <w:color w:val="000000" w:themeColor="text1"/>
                <w:sz w:val="24"/>
                <w:szCs w:val="24"/>
              </w:rPr>
              <w:t xml:space="preserve"> dalis grąžinama siunčiančiajai institucijai. </w:t>
            </w:r>
          </w:p>
          <w:p w14:paraId="6580FD60" w14:textId="24F7291C" w:rsidR="003E5723" w:rsidRPr="00B87EDB" w:rsidRDefault="003E5723" w:rsidP="003E5723">
            <w:pPr>
              <w:pStyle w:val="ListParagraph"/>
              <w:numPr>
                <w:ilvl w:val="0"/>
                <w:numId w:val="14"/>
              </w:numPr>
              <w:spacing w:after="120"/>
              <w:ind w:left="301"/>
              <w:jc w:val="both"/>
              <w:rPr>
                <w:rFonts w:ascii="Times New Roman" w:hAnsi="Times New Roman" w:cs="Times New Roman"/>
                <w:color w:val="000000" w:themeColor="text1"/>
                <w:sz w:val="24"/>
                <w:szCs w:val="24"/>
              </w:rPr>
            </w:pPr>
            <w:r w:rsidRPr="00E0700C">
              <w:rPr>
                <w:rFonts w:ascii="Times New Roman" w:hAnsi="Times New Roman" w:cs="Times New Roman"/>
                <w:color w:val="000000" w:themeColor="text1"/>
                <w:sz w:val="24"/>
                <w:szCs w:val="24"/>
              </w:rPr>
              <w:t xml:space="preserve">Tais atvejais, kai </w:t>
            </w:r>
            <w:r>
              <w:rPr>
                <w:rFonts w:ascii="Times New Roman" w:hAnsi="Times New Roman" w:cs="Times New Roman"/>
                <w:color w:val="000000" w:themeColor="text1"/>
                <w:sz w:val="24"/>
                <w:szCs w:val="24"/>
              </w:rPr>
              <w:t>priimanti institucija pereina prie virtualaus mokymo proceso ir mobilumo dalyvis lieka priimančios institucijos šalyje,</w:t>
            </w:r>
            <w:r w:rsidRPr="00E0700C">
              <w:rPr>
                <w:rFonts w:ascii="Times New Roman" w:hAnsi="Times New Roman" w:cs="Times New Roman"/>
                <w:color w:val="000000" w:themeColor="text1"/>
                <w:sz w:val="24"/>
                <w:szCs w:val="24"/>
              </w:rPr>
              <w:t xml:space="preserve"> </w:t>
            </w:r>
            <w:r w:rsidRPr="00E0700C">
              <w:rPr>
                <w:rFonts w:ascii="Times New Roman" w:hAnsi="Times New Roman" w:cs="Times New Roman"/>
                <w:b/>
                <w:color w:val="000000" w:themeColor="text1"/>
                <w:sz w:val="24"/>
                <w:szCs w:val="24"/>
              </w:rPr>
              <w:t>dalyviui grąžinti išmokėtos stipendijos</w:t>
            </w:r>
            <w:r w:rsidR="000529DA">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 xml:space="preserve"> </w:t>
            </w:r>
            <w:r w:rsidR="000529DA" w:rsidRPr="000529DA">
              <w:rPr>
                <w:rFonts w:ascii="Times New Roman" w:hAnsi="Times New Roman" w:cs="Times New Roman"/>
                <w:b/>
                <w:color w:val="000000" w:themeColor="text1"/>
                <w:sz w:val="24"/>
                <w:szCs w:val="24"/>
              </w:rPr>
              <w:t xml:space="preserve">pragyvenimo išlaidų </w:t>
            </w:r>
            <w:r>
              <w:rPr>
                <w:rFonts w:ascii="Times New Roman" w:hAnsi="Times New Roman" w:cs="Times New Roman"/>
                <w:b/>
                <w:color w:val="000000" w:themeColor="text1"/>
                <w:sz w:val="24"/>
                <w:szCs w:val="24"/>
              </w:rPr>
              <w:t>nereikia</w:t>
            </w:r>
            <w:r w:rsidRPr="00E0700C">
              <w:rPr>
                <w:rFonts w:ascii="Times New Roman" w:hAnsi="Times New Roman" w:cs="Times New Roman"/>
                <w:b/>
                <w:color w:val="000000" w:themeColor="text1"/>
                <w:sz w:val="24"/>
                <w:szCs w:val="24"/>
              </w:rPr>
              <w:t>.</w:t>
            </w:r>
            <w:r w:rsidRPr="00E0700C">
              <w:rPr>
                <w:rFonts w:ascii="Times New Roman" w:hAnsi="Times New Roman" w:cs="Times New Roman"/>
                <w:color w:val="000000" w:themeColor="text1"/>
                <w:sz w:val="24"/>
                <w:szCs w:val="24"/>
              </w:rPr>
              <w:t xml:space="preserve"> </w:t>
            </w:r>
          </w:p>
          <w:p w14:paraId="20854BEE" w14:textId="2F6B1CA7" w:rsidR="003E5723" w:rsidRPr="00E0700C" w:rsidRDefault="003E5723" w:rsidP="003E5723">
            <w:pPr>
              <w:pStyle w:val="ListParagraph"/>
              <w:numPr>
                <w:ilvl w:val="0"/>
                <w:numId w:val="14"/>
              </w:numPr>
              <w:spacing w:after="120"/>
              <w:ind w:left="301"/>
              <w:jc w:val="both"/>
              <w:rPr>
                <w:rFonts w:ascii="Times New Roman" w:hAnsi="Times New Roman" w:cs="Times New Roman"/>
                <w:color w:val="000000" w:themeColor="text1"/>
                <w:sz w:val="24"/>
                <w:szCs w:val="24"/>
              </w:rPr>
            </w:pPr>
            <w:r w:rsidRPr="00E0700C">
              <w:rPr>
                <w:rFonts w:ascii="Times New Roman" w:hAnsi="Times New Roman" w:cs="Times New Roman"/>
                <w:color w:val="000000" w:themeColor="text1"/>
                <w:sz w:val="24"/>
                <w:szCs w:val="24"/>
              </w:rPr>
              <w:t xml:space="preserve">Tais atvejais, kai </w:t>
            </w:r>
            <w:r>
              <w:rPr>
                <w:rFonts w:ascii="Times New Roman" w:hAnsi="Times New Roman" w:cs="Times New Roman"/>
                <w:color w:val="000000" w:themeColor="text1"/>
                <w:sz w:val="24"/>
                <w:szCs w:val="24"/>
              </w:rPr>
              <w:t xml:space="preserve">esant </w:t>
            </w:r>
            <w:r w:rsidRPr="00B87EDB">
              <w:rPr>
                <w:rFonts w:ascii="Times New Roman" w:hAnsi="Times New Roman" w:cs="Times New Roman"/>
                <w:i/>
                <w:color w:val="000000" w:themeColor="text1"/>
                <w:sz w:val="24"/>
                <w:szCs w:val="24"/>
              </w:rPr>
              <w:t>force majeure</w:t>
            </w:r>
            <w:r>
              <w:rPr>
                <w:rFonts w:ascii="Times New Roman" w:hAnsi="Times New Roman" w:cs="Times New Roman"/>
                <w:color w:val="000000" w:themeColor="text1"/>
                <w:sz w:val="24"/>
                <w:szCs w:val="24"/>
              </w:rPr>
              <w:t xml:space="preserve"> aplinkybėms </w:t>
            </w:r>
            <w:r w:rsidRPr="00E0700C">
              <w:rPr>
                <w:rFonts w:ascii="Times New Roman" w:hAnsi="Times New Roman" w:cs="Times New Roman"/>
                <w:color w:val="000000" w:themeColor="text1"/>
                <w:sz w:val="24"/>
                <w:szCs w:val="24"/>
              </w:rPr>
              <w:t xml:space="preserve">mobilumo </w:t>
            </w:r>
            <w:r w:rsidRPr="00E0700C">
              <w:rPr>
                <w:rFonts w:ascii="Times New Roman" w:hAnsi="Times New Roman" w:cs="Times New Roman"/>
                <w:b/>
                <w:color w:val="000000" w:themeColor="text1"/>
                <w:sz w:val="24"/>
                <w:szCs w:val="24"/>
              </w:rPr>
              <w:t>dalyvis grįžo į Lietuvą</w:t>
            </w:r>
            <w:r w:rsidRPr="00E0700C">
              <w:rPr>
                <w:rFonts w:ascii="Times New Roman" w:hAnsi="Times New Roman" w:cs="Times New Roman"/>
                <w:color w:val="000000" w:themeColor="text1"/>
                <w:sz w:val="24"/>
                <w:szCs w:val="24"/>
              </w:rPr>
              <w:t xml:space="preserve">,  </w:t>
            </w:r>
            <w:r w:rsidRPr="00E0700C">
              <w:rPr>
                <w:rFonts w:ascii="Times New Roman" w:hAnsi="Times New Roman" w:cs="Times New Roman"/>
                <w:b/>
                <w:color w:val="000000" w:themeColor="text1"/>
                <w:sz w:val="24"/>
                <w:szCs w:val="24"/>
              </w:rPr>
              <w:t>dalyvauja virtualiame mokyme</w:t>
            </w:r>
            <w:r w:rsidRPr="00E0700C">
              <w:rPr>
                <w:rFonts w:ascii="Times New Roman" w:hAnsi="Times New Roman" w:cs="Times New Roman"/>
                <w:color w:val="000000" w:themeColor="text1"/>
                <w:sz w:val="24"/>
                <w:szCs w:val="24"/>
              </w:rPr>
              <w:t xml:space="preserve"> ar kitoje virtualioje veikloje (jei priimančioji institucija padarė jas prieinamas kaip alternatyvą iš pradžių planuotai veiklai), </w:t>
            </w:r>
            <w:r w:rsidRPr="00E0700C">
              <w:rPr>
                <w:rFonts w:ascii="Times New Roman" w:hAnsi="Times New Roman" w:cs="Times New Roman"/>
                <w:b/>
                <w:color w:val="000000" w:themeColor="text1"/>
                <w:sz w:val="24"/>
                <w:szCs w:val="24"/>
              </w:rPr>
              <w:t>siunčiančioji institucija gali priimti sprendimą nereikalauti dalyviui grąžinti išmokėtos stipendijos</w:t>
            </w:r>
            <w:r w:rsidR="00DB1DF2">
              <w:rPr>
                <w:rFonts w:ascii="Times New Roman" w:hAnsi="Times New Roman" w:cs="Times New Roman"/>
                <w:b/>
                <w:color w:val="000000" w:themeColor="text1"/>
                <w:sz w:val="24"/>
                <w:szCs w:val="24"/>
              </w:rPr>
              <w:t>/pragyvenimo išlaidų</w:t>
            </w:r>
            <w:r w:rsidRPr="00E0700C">
              <w:rPr>
                <w:rFonts w:ascii="Times New Roman" w:hAnsi="Times New Roman" w:cs="Times New Roman"/>
                <w:b/>
                <w:color w:val="000000" w:themeColor="text1"/>
                <w:sz w:val="24"/>
                <w:szCs w:val="24"/>
              </w:rPr>
              <w:t>.</w:t>
            </w:r>
            <w:r w:rsidRPr="00E0700C">
              <w:rPr>
                <w:rFonts w:ascii="Times New Roman" w:hAnsi="Times New Roman" w:cs="Times New Roman"/>
                <w:color w:val="000000" w:themeColor="text1"/>
                <w:sz w:val="24"/>
                <w:szCs w:val="24"/>
              </w:rPr>
              <w:t xml:space="preserve"> Taip pat gali būti kompensuojami patirti nuostoliai (pvz., tais atvejais kai patiriamos papildomos kelionės atgal į Lietuvą išlaidos, negrąžinamas užstatas už gyvenamosios vietos nuomą </w:t>
            </w:r>
            <w:r w:rsidRPr="00E0700C">
              <w:rPr>
                <w:rFonts w:ascii="Times New Roman" w:hAnsi="Times New Roman" w:cs="Times New Roman"/>
                <w:color w:val="000000" w:themeColor="text1"/>
                <w:sz w:val="24"/>
                <w:szCs w:val="24"/>
              </w:rPr>
              <w:lastRenderedPageBreak/>
              <w:t>mobilumo laikotarpio metu, pateikus dokumentus ar raštiškus įrodymus, kad buvo kreiptasi dėl patirtų išlaidų susigrąžinimo ir kt.).</w:t>
            </w:r>
          </w:p>
          <w:p w14:paraId="34BEAD32" w14:textId="72AF4C60" w:rsidR="003E5723" w:rsidRPr="00E0700C" w:rsidRDefault="003E5723" w:rsidP="003E5723">
            <w:pPr>
              <w:pStyle w:val="ListParagraph"/>
              <w:numPr>
                <w:ilvl w:val="0"/>
                <w:numId w:val="14"/>
              </w:numPr>
              <w:spacing w:after="120"/>
              <w:ind w:left="301"/>
              <w:jc w:val="both"/>
              <w:rPr>
                <w:rFonts w:ascii="Times New Roman" w:hAnsi="Times New Roman" w:cs="Times New Roman"/>
                <w:color w:val="000000" w:themeColor="text1"/>
                <w:sz w:val="24"/>
                <w:szCs w:val="24"/>
              </w:rPr>
            </w:pPr>
            <w:r w:rsidRPr="00E0700C">
              <w:rPr>
                <w:rFonts w:ascii="Times New Roman" w:hAnsi="Times New Roman" w:cs="Times New Roman"/>
                <w:color w:val="000000" w:themeColor="text1"/>
                <w:sz w:val="24"/>
                <w:szCs w:val="24"/>
              </w:rPr>
              <w:t xml:space="preserve">Tais atvejais, kai mobilumo laikotarpis baigėsi ar yra nutrauktas priimančiosios institucijos, tačiau mobilumo </w:t>
            </w:r>
            <w:r w:rsidRPr="00E0700C">
              <w:rPr>
                <w:rFonts w:ascii="Times New Roman" w:hAnsi="Times New Roman" w:cs="Times New Roman"/>
                <w:b/>
                <w:color w:val="000000" w:themeColor="text1"/>
                <w:sz w:val="24"/>
                <w:szCs w:val="24"/>
              </w:rPr>
              <w:t>dalyvis neturi galimybės grįžti į gimtąją šalį</w:t>
            </w:r>
            <w:r w:rsidRPr="00E0700C">
              <w:rPr>
                <w:rFonts w:ascii="Times New Roman" w:hAnsi="Times New Roman" w:cs="Times New Roman"/>
                <w:color w:val="000000" w:themeColor="text1"/>
                <w:sz w:val="24"/>
                <w:szCs w:val="24"/>
              </w:rPr>
              <w:t xml:space="preserve"> (dėl karantino atsiradusių judėjimo tarp šalių ribojimo), </w:t>
            </w:r>
            <w:r w:rsidRPr="00E0700C">
              <w:rPr>
                <w:rFonts w:ascii="Times New Roman" w:hAnsi="Times New Roman" w:cs="Times New Roman"/>
                <w:b/>
                <w:color w:val="000000" w:themeColor="text1"/>
                <w:sz w:val="24"/>
                <w:szCs w:val="24"/>
              </w:rPr>
              <w:t>siunčiančioji institucija gali priimti sprendimą nereikalauti dalyviui grąžinti išmokėtos stipendijos</w:t>
            </w:r>
            <w:r w:rsidR="00DB1DF2" w:rsidRPr="00DB1DF2">
              <w:rPr>
                <w:rFonts w:ascii="Times New Roman" w:hAnsi="Times New Roman" w:cs="Times New Roman"/>
                <w:b/>
                <w:color w:val="000000" w:themeColor="text1"/>
                <w:sz w:val="24"/>
                <w:szCs w:val="24"/>
              </w:rPr>
              <w:t>/pragyvenimo išlaidų</w:t>
            </w:r>
            <w:r w:rsidRPr="00E0700C">
              <w:rPr>
                <w:rFonts w:ascii="Times New Roman" w:hAnsi="Times New Roman" w:cs="Times New Roman"/>
                <w:b/>
                <w:color w:val="000000" w:themeColor="text1"/>
                <w:sz w:val="24"/>
                <w:szCs w:val="24"/>
              </w:rPr>
              <w:t>.</w:t>
            </w:r>
            <w:r w:rsidRPr="00E0700C">
              <w:rPr>
                <w:rFonts w:ascii="Times New Roman" w:hAnsi="Times New Roman" w:cs="Times New Roman"/>
                <w:color w:val="000000" w:themeColor="text1"/>
                <w:sz w:val="24"/>
                <w:szCs w:val="24"/>
              </w:rPr>
              <w:t xml:space="preserve"> Taip pat gali būti kompensuojami patirti nuostoliai (pvz., tais atvejais kai patiriamos papildomos kelionės atgal į Lietuvą išlaidos, negrąžinamas užstatas už gyvenamosios vietos nuomą mobilumo laikotarpio metu, pateikus dokumentus ar raštiškus įrodymus, kad buvo kreiptasi dėl patirtų išlaidų susigrąžinimo ir kt.).</w:t>
            </w:r>
          </w:p>
          <w:p w14:paraId="120738CC" w14:textId="77777777" w:rsidR="003E5723" w:rsidRPr="00E0700C" w:rsidRDefault="003E5723" w:rsidP="003E5723">
            <w:pPr>
              <w:pStyle w:val="ListParagraph"/>
              <w:numPr>
                <w:ilvl w:val="0"/>
                <w:numId w:val="14"/>
              </w:numPr>
              <w:spacing w:after="120"/>
              <w:ind w:left="301"/>
              <w:jc w:val="both"/>
              <w:rPr>
                <w:rFonts w:ascii="Times New Roman" w:hAnsi="Times New Roman" w:cs="Times New Roman"/>
                <w:color w:val="000000" w:themeColor="text1"/>
                <w:sz w:val="24"/>
                <w:szCs w:val="24"/>
              </w:rPr>
            </w:pPr>
            <w:r w:rsidRPr="00E0700C">
              <w:rPr>
                <w:rFonts w:ascii="Times New Roman" w:hAnsi="Times New Roman" w:cs="Times New Roman"/>
                <w:color w:val="000000" w:themeColor="text1"/>
                <w:sz w:val="24"/>
                <w:szCs w:val="24"/>
              </w:rPr>
              <w:t xml:space="preserve">Tais atvejais, kai </w:t>
            </w:r>
            <w:r w:rsidRPr="00E0700C">
              <w:rPr>
                <w:rFonts w:ascii="Times New Roman" w:hAnsi="Times New Roman" w:cs="Times New Roman"/>
                <w:b/>
                <w:color w:val="000000" w:themeColor="text1"/>
                <w:sz w:val="24"/>
                <w:szCs w:val="24"/>
              </w:rPr>
              <w:t>mobilumas dar nebuvo prasidėjęs</w:t>
            </w:r>
            <w:r w:rsidRPr="00E0700C">
              <w:rPr>
                <w:rFonts w:ascii="Times New Roman" w:hAnsi="Times New Roman" w:cs="Times New Roman"/>
                <w:color w:val="000000" w:themeColor="text1"/>
                <w:sz w:val="24"/>
                <w:szCs w:val="24"/>
              </w:rPr>
              <w:t xml:space="preserve">, tačiau mobilumo dalyvis patyrė nuostolių bandydamas atšaukti suplanuotą skrydį ar apgyvendinimo vietos rezervaciją ir turi tai pagrindžiančius dokumentus, </w:t>
            </w:r>
            <w:r w:rsidRPr="00E0700C">
              <w:rPr>
                <w:rFonts w:ascii="Times New Roman" w:hAnsi="Times New Roman" w:cs="Times New Roman"/>
                <w:b/>
                <w:color w:val="000000" w:themeColor="text1"/>
                <w:sz w:val="24"/>
                <w:szCs w:val="24"/>
              </w:rPr>
              <w:t>siunčiančioji institucija gali priimti sprendimą kompensuoti patirtas išlaidas</w:t>
            </w:r>
            <w:r w:rsidRPr="00E0700C">
              <w:rPr>
                <w:rFonts w:ascii="Times New Roman" w:hAnsi="Times New Roman" w:cs="Times New Roman"/>
                <w:color w:val="000000" w:themeColor="text1"/>
                <w:sz w:val="24"/>
                <w:szCs w:val="24"/>
              </w:rPr>
              <w:t>.</w:t>
            </w:r>
          </w:p>
          <w:p w14:paraId="3A1AB796" w14:textId="77777777" w:rsidR="003E5723" w:rsidRPr="00E0700C" w:rsidRDefault="003E5723" w:rsidP="003E5723">
            <w:pPr>
              <w:spacing w:after="120"/>
              <w:jc w:val="both"/>
              <w:rPr>
                <w:rFonts w:ascii="Times New Roman" w:hAnsi="Times New Roman" w:cs="Times New Roman"/>
                <w:color w:val="000000" w:themeColor="text1"/>
                <w:sz w:val="24"/>
                <w:szCs w:val="24"/>
              </w:rPr>
            </w:pPr>
            <w:r w:rsidRPr="00E0700C">
              <w:rPr>
                <w:rFonts w:ascii="Times New Roman" w:hAnsi="Times New Roman" w:cs="Times New Roman"/>
                <w:color w:val="000000" w:themeColor="text1"/>
                <w:sz w:val="24"/>
                <w:szCs w:val="24"/>
              </w:rPr>
              <w:t>Atkreipiame dėmesį, kad kompensuojamos gali būti tik faktinės mobilumo dalyvio už neįvykusius mobilumus patirtos išlaidos. Visais atvejais kompensuojamų išlaidų dydis negali viršyti institucijai skirtos dotacijos.</w:t>
            </w:r>
          </w:p>
          <w:p w14:paraId="17640E76" w14:textId="2E01C84A" w:rsidR="003E5723" w:rsidRPr="00E0700C" w:rsidRDefault="003E5723" w:rsidP="003E5723">
            <w:pPr>
              <w:tabs>
                <w:tab w:val="left" w:pos="318"/>
              </w:tabs>
              <w:spacing w:after="120"/>
              <w:jc w:val="both"/>
              <w:rPr>
                <w:rFonts w:ascii="Times New Roman" w:hAnsi="Times New Roman" w:cs="Times New Roman"/>
                <w:color w:val="000000" w:themeColor="text1"/>
                <w:sz w:val="24"/>
                <w:szCs w:val="24"/>
              </w:rPr>
            </w:pPr>
            <w:r w:rsidRPr="00E0700C">
              <w:rPr>
                <w:rFonts w:ascii="Times New Roman" w:hAnsi="Times New Roman" w:cs="Times New Roman"/>
                <w:b/>
                <w:color w:val="000000" w:themeColor="text1"/>
                <w:sz w:val="24"/>
                <w:szCs w:val="24"/>
              </w:rPr>
              <w:t xml:space="preserve">Dėmesio! </w:t>
            </w:r>
            <w:r w:rsidRPr="00E0700C">
              <w:rPr>
                <w:rFonts w:ascii="Times New Roman" w:hAnsi="Times New Roman" w:cs="Times New Roman"/>
                <w:color w:val="000000" w:themeColor="text1"/>
                <w:sz w:val="24"/>
                <w:szCs w:val="24"/>
              </w:rPr>
              <w:t>Kiekvieną atvejį siunčiančioji institucija nagrinėja atskirai, atsižvelgdama į turimą programos „Erasmus+“ finansavimą ir užtikrindama vienodą identiškų ar panašių atvejų traktavimą.</w:t>
            </w:r>
          </w:p>
        </w:tc>
      </w:tr>
      <w:tr w:rsidR="003E5723" w:rsidRPr="00E0700C" w14:paraId="6D36192A" w14:textId="77777777" w:rsidTr="00B55917">
        <w:tc>
          <w:tcPr>
            <w:tcW w:w="2842" w:type="dxa"/>
          </w:tcPr>
          <w:p w14:paraId="160CAB05" w14:textId="77777777" w:rsidR="003E5723" w:rsidRDefault="003E5723" w:rsidP="003E5723">
            <w:pPr>
              <w:pStyle w:val="ListParagraph"/>
              <w:numPr>
                <w:ilvl w:val="0"/>
                <w:numId w:val="11"/>
              </w:numPr>
              <w:tabs>
                <w:tab w:val="left" w:pos="313"/>
              </w:tabs>
              <w:ind w:left="0" w:firstLine="0"/>
              <w:rPr>
                <w:rFonts w:ascii="Times New Roman" w:hAnsi="Times New Roman" w:cs="Times New Roman"/>
                <w:sz w:val="24"/>
                <w:szCs w:val="24"/>
              </w:rPr>
            </w:pPr>
            <w:r w:rsidRPr="00E0700C">
              <w:rPr>
                <w:rFonts w:ascii="Times New Roman" w:hAnsi="Times New Roman" w:cs="Times New Roman"/>
                <w:sz w:val="24"/>
                <w:szCs w:val="24"/>
              </w:rPr>
              <w:lastRenderedPageBreak/>
              <w:t xml:space="preserve">Ar gali būti kompensuotos išlaidos, </w:t>
            </w:r>
            <w:r w:rsidRPr="00E0700C">
              <w:rPr>
                <w:rFonts w:ascii="Times New Roman" w:hAnsi="Times New Roman" w:cs="Times New Roman"/>
                <w:color w:val="000000" w:themeColor="text1"/>
                <w:sz w:val="24"/>
                <w:szCs w:val="24"/>
              </w:rPr>
              <w:t>nenumatytos</w:t>
            </w:r>
            <w:r w:rsidRPr="00E0700C">
              <w:rPr>
                <w:rFonts w:ascii="Times New Roman" w:hAnsi="Times New Roman" w:cs="Times New Roman"/>
                <w:sz w:val="24"/>
                <w:szCs w:val="24"/>
              </w:rPr>
              <w:t xml:space="preserve"> dotacijos sutartyje?</w:t>
            </w:r>
          </w:p>
          <w:p w14:paraId="723C7044" w14:textId="56213A3C" w:rsidR="003E5723" w:rsidRPr="00E0700C" w:rsidRDefault="003E5723" w:rsidP="003E5723">
            <w:pPr>
              <w:pStyle w:val="ListParagraph"/>
              <w:tabs>
                <w:tab w:val="left" w:pos="313"/>
              </w:tabs>
              <w:ind w:left="0"/>
              <w:rPr>
                <w:rFonts w:ascii="Times New Roman" w:hAnsi="Times New Roman" w:cs="Times New Roman"/>
                <w:sz w:val="24"/>
                <w:szCs w:val="24"/>
              </w:rPr>
            </w:pPr>
          </w:p>
        </w:tc>
        <w:tc>
          <w:tcPr>
            <w:tcW w:w="6786" w:type="dxa"/>
          </w:tcPr>
          <w:p w14:paraId="13ABDCF0" w14:textId="77777777" w:rsidR="003E5723" w:rsidRPr="00E0700C" w:rsidRDefault="003E5723" w:rsidP="003E5723">
            <w:pPr>
              <w:tabs>
                <w:tab w:val="left" w:pos="318"/>
              </w:tabs>
              <w:spacing w:after="120"/>
              <w:jc w:val="both"/>
              <w:rPr>
                <w:rFonts w:ascii="Times New Roman" w:hAnsi="Times New Roman" w:cs="Times New Roman"/>
                <w:color w:val="000000" w:themeColor="text1"/>
                <w:sz w:val="24"/>
                <w:szCs w:val="24"/>
              </w:rPr>
            </w:pPr>
            <w:r w:rsidRPr="00E0700C">
              <w:rPr>
                <w:rFonts w:ascii="Times New Roman" w:hAnsi="Times New Roman" w:cs="Times New Roman"/>
                <w:color w:val="000000" w:themeColor="text1"/>
                <w:sz w:val="24"/>
                <w:szCs w:val="24"/>
              </w:rPr>
              <w:t>Pripažinus</w:t>
            </w:r>
            <w:r w:rsidRPr="00E0700C">
              <w:rPr>
                <w:rFonts w:ascii="Times New Roman" w:hAnsi="Times New Roman" w:cs="Times New Roman"/>
                <w:i/>
                <w:color w:val="000000" w:themeColor="text1"/>
                <w:sz w:val="24"/>
                <w:szCs w:val="24"/>
              </w:rPr>
              <w:t xml:space="preserve"> force majeure</w:t>
            </w:r>
            <w:r w:rsidRPr="00E0700C">
              <w:rPr>
                <w:rFonts w:ascii="Times New Roman" w:hAnsi="Times New Roman" w:cs="Times New Roman"/>
                <w:color w:val="000000" w:themeColor="text1"/>
                <w:sz w:val="24"/>
                <w:szCs w:val="24"/>
              </w:rPr>
              <w:t xml:space="preserve"> atvejus gali būti kompensuojamos papildomos išlaidos pateikus mobilumo dalyvio pateiktus pagrindžiančius dokumentus bei dotacijos gavėjo pasirašytą deklaraciją, kad šių išlaidų negali padengti iš kitų šaltinių (pvz., draudimo, mobilumo organizavimui skirtų išlaidų ir pan.). </w:t>
            </w:r>
          </w:p>
          <w:p w14:paraId="2D5D3E91" w14:textId="77777777" w:rsidR="003E5723" w:rsidRPr="00E0700C" w:rsidRDefault="003E5723" w:rsidP="003E5723">
            <w:pPr>
              <w:tabs>
                <w:tab w:val="left" w:pos="318"/>
              </w:tabs>
              <w:spacing w:after="120"/>
              <w:jc w:val="both"/>
              <w:rPr>
                <w:rFonts w:ascii="Times New Roman" w:hAnsi="Times New Roman" w:cs="Times New Roman"/>
                <w:color w:val="000000" w:themeColor="text1"/>
                <w:sz w:val="24"/>
                <w:szCs w:val="24"/>
              </w:rPr>
            </w:pPr>
            <w:r w:rsidRPr="00E0700C">
              <w:rPr>
                <w:rFonts w:ascii="Times New Roman" w:hAnsi="Times New Roman" w:cs="Times New Roman"/>
                <w:color w:val="000000" w:themeColor="text1"/>
                <w:sz w:val="24"/>
                <w:szCs w:val="24"/>
              </w:rPr>
              <w:t>Visais atvejais kompensuojamų išlaidų dydis negali viršyti institucijai skirtos dotacijos.</w:t>
            </w:r>
          </w:p>
        </w:tc>
      </w:tr>
      <w:tr w:rsidR="003E5723" w:rsidRPr="00E0700C" w14:paraId="2C423F23" w14:textId="77777777" w:rsidTr="00B55917">
        <w:tc>
          <w:tcPr>
            <w:tcW w:w="2842" w:type="dxa"/>
          </w:tcPr>
          <w:p w14:paraId="110EEBAC" w14:textId="77777777" w:rsidR="003E5723" w:rsidRDefault="003E5723" w:rsidP="003E5723">
            <w:pPr>
              <w:pStyle w:val="ListParagraph"/>
              <w:numPr>
                <w:ilvl w:val="0"/>
                <w:numId w:val="11"/>
              </w:numPr>
              <w:tabs>
                <w:tab w:val="left" w:pos="313"/>
              </w:tabs>
              <w:ind w:left="0" w:firstLine="0"/>
              <w:rPr>
                <w:rFonts w:ascii="Times New Roman" w:hAnsi="Times New Roman" w:cs="Times New Roman"/>
                <w:sz w:val="24"/>
                <w:szCs w:val="24"/>
              </w:rPr>
            </w:pPr>
            <w:r w:rsidRPr="00E87963">
              <w:rPr>
                <w:rFonts w:ascii="Times New Roman" w:hAnsi="Times New Roman" w:cs="Times New Roman"/>
                <w:sz w:val="24"/>
                <w:szCs w:val="24"/>
              </w:rPr>
              <w:t xml:space="preserve">Ar </w:t>
            </w:r>
            <w:r w:rsidRPr="00E87963">
              <w:rPr>
                <w:rFonts w:ascii="Times New Roman" w:hAnsi="Times New Roman" w:cs="Times New Roman"/>
                <w:color w:val="000000" w:themeColor="text1"/>
                <w:sz w:val="24"/>
                <w:szCs w:val="24"/>
              </w:rPr>
              <w:t>strateginių</w:t>
            </w:r>
            <w:r w:rsidRPr="00E87963">
              <w:rPr>
                <w:rFonts w:ascii="Times New Roman" w:hAnsi="Times New Roman" w:cs="Times New Roman"/>
                <w:sz w:val="24"/>
                <w:szCs w:val="24"/>
              </w:rPr>
              <w:t xml:space="preserve"> partnerysčių (KA2) projektuose partnerių susitikimai ir intelektinių produktų sklaidos renginiai, organizuoti nuotoliniu būdu, gali būti užskaityti kaip tinkami?</w:t>
            </w:r>
          </w:p>
          <w:p w14:paraId="1AC55C5C" w14:textId="53C3F5B3" w:rsidR="003E5723" w:rsidRPr="00E0700C" w:rsidRDefault="003E5723" w:rsidP="003E5723">
            <w:pPr>
              <w:pStyle w:val="ListParagraph"/>
              <w:tabs>
                <w:tab w:val="left" w:pos="313"/>
              </w:tabs>
              <w:ind w:left="0"/>
              <w:rPr>
                <w:rFonts w:ascii="Times New Roman" w:hAnsi="Times New Roman" w:cs="Times New Roman"/>
                <w:sz w:val="24"/>
                <w:szCs w:val="24"/>
              </w:rPr>
            </w:pPr>
          </w:p>
        </w:tc>
        <w:tc>
          <w:tcPr>
            <w:tcW w:w="6786" w:type="dxa"/>
          </w:tcPr>
          <w:p w14:paraId="398D9560" w14:textId="71B90604" w:rsidR="003E5723" w:rsidRPr="00545D85" w:rsidRDefault="003E5723" w:rsidP="003E5723">
            <w:pPr>
              <w:tabs>
                <w:tab w:val="left" w:pos="318"/>
              </w:tabs>
              <w:spacing w:after="120"/>
              <w:jc w:val="both"/>
              <w:rPr>
                <w:rFonts w:ascii="Times New Roman" w:hAnsi="Times New Roman" w:cs="Times New Roman"/>
                <w:color w:val="000000" w:themeColor="text1"/>
                <w:sz w:val="24"/>
                <w:szCs w:val="24"/>
              </w:rPr>
            </w:pPr>
            <w:r w:rsidRPr="00545D85">
              <w:rPr>
                <w:rFonts w:ascii="Times New Roman" w:hAnsi="Times New Roman" w:cs="Times New Roman"/>
                <w:color w:val="000000" w:themeColor="text1"/>
                <w:sz w:val="24"/>
                <w:szCs w:val="24"/>
              </w:rPr>
              <w:t xml:space="preserve">Tuo atveju, jeigu dėl COVID-19 pandemijos protrūkio projekte dalyvaujančių organizacijų šalyse, neįmanoma </w:t>
            </w:r>
            <w:r>
              <w:rPr>
                <w:rFonts w:ascii="Times New Roman" w:hAnsi="Times New Roman" w:cs="Times New Roman"/>
                <w:color w:val="000000" w:themeColor="text1"/>
                <w:sz w:val="24"/>
                <w:szCs w:val="24"/>
              </w:rPr>
              <w:t xml:space="preserve">Strateginių partnerysčių </w:t>
            </w:r>
            <w:r w:rsidRPr="00545D85">
              <w:rPr>
                <w:rFonts w:ascii="Times New Roman" w:hAnsi="Times New Roman" w:cs="Times New Roman"/>
                <w:color w:val="000000" w:themeColor="text1"/>
                <w:sz w:val="24"/>
                <w:szCs w:val="24"/>
              </w:rPr>
              <w:t xml:space="preserve">projekto veiklų įgyvendinti įprastomis sąlygomis, t. y. vadovaujantis dotacijos sutarties ir jos II, III, IV prieduose patvirtintomis nuostatomis, </w:t>
            </w:r>
            <w:r>
              <w:rPr>
                <w:rFonts w:ascii="Times New Roman" w:hAnsi="Times New Roman" w:cs="Times New Roman"/>
                <w:color w:val="000000" w:themeColor="text1"/>
                <w:sz w:val="24"/>
                <w:szCs w:val="24"/>
              </w:rPr>
              <w:t xml:space="preserve">tuomet </w:t>
            </w:r>
            <w:r w:rsidRPr="00545D85">
              <w:rPr>
                <w:rFonts w:ascii="Times New Roman" w:hAnsi="Times New Roman" w:cs="Times New Roman"/>
                <w:color w:val="000000" w:themeColor="text1"/>
                <w:sz w:val="24"/>
                <w:szCs w:val="24"/>
              </w:rPr>
              <w:t>projekto partnerių susitikimus ir intelektinių produktų sklaidos renginius galima įgyvendinti virtualiu būdu kaip tai numato dotacijos sutarties VI priedo sąlygos.</w:t>
            </w:r>
          </w:p>
          <w:p w14:paraId="07A85B95" w14:textId="77777777" w:rsidR="003E5723" w:rsidRPr="00545D85" w:rsidRDefault="003E5723" w:rsidP="003E5723">
            <w:pPr>
              <w:tabs>
                <w:tab w:val="left" w:pos="318"/>
              </w:tabs>
              <w:spacing w:after="120"/>
              <w:jc w:val="both"/>
              <w:rPr>
                <w:rFonts w:ascii="Times New Roman" w:hAnsi="Times New Roman" w:cs="Times New Roman"/>
                <w:color w:val="000000" w:themeColor="text1"/>
                <w:sz w:val="24"/>
                <w:szCs w:val="24"/>
              </w:rPr>
            </w:pPr>
            <w:r w:rsidRPr="00545D85">
              <w:rPr>
                <w:rFonts w:ascii="Times New Roman" w:hAnsi="Times New Roman" w:cs="Times New Roman"/>
                <w:color w:val="000000" w:themeColor="text1"/>
                <w:sz w:val="24"/>
                <w:szCs w:val="24"/>
              </w:rPr>
              <w:t>Virtualiu būdu organizuotų veiklų išlaidos finansuojamos iš atitinkamų biudžeto kategorijų remiantis dotacijos sutarties VI priede įtvirtintomis nuostatomis:</w:t>
            </w:r>
          </w:p>
          <w:p w14:paraId="60CE1AE0" w14:textId="77777777" w:rsidR="003E5723" w:rsidRPr="00545D85" w:rsidRDefault="003E5723" w:rsidP="003E5723">
            <w:pPr>
              <w:tabs>
                <w:tab w:val="left" w:pos="318"/>
              </w:tabs>
              <w:spacing w:after="120"/>
              <w:ind w:left="360" w:hanging="335"/>
              <w:jc w:val="both"/>
              <w:rPr>
                <w:rFonts w:ascii="Times New Roman" w:hAnsi="Times New Roman" w:cs="Times New Roman"/>
                <w:color w:val="000000" w:themeColor="text1"/>
                <w:sz w:val="24"/>
                <w:szCs w:val="24"/>
              </w:rPr>
            </w:pPr>
            <w:r w:rsidRPr="00545D85">
              <w:rPr>
                <w:rFonts w:ascii="Times New Roman" w:hAnsi="Times New Roman" w:cs="Times New Roman"/>
                <w:color w:val="000000" w:themeColor="text1"/>
                <w:sz w:val="24"/>
                <w:szCs w:val="24"/>
              </w:rPr>
              <w:t>1)</w:t>
            </w:r>
            <w:r w:rsidRPr="00545D85">
              <w:rPr>
                <w:rFonts w:ascii="Times New Roman" w:hAnsi="Times New Roman" w:cs="Times New Roman"/>
                <w:color w:val="000000" w:themeColor="text1"/>
                <w:sz w:val="24"/>
                <w:szCs w:val="24"/>
              </w:rPr>
              <w:tab/>
              <w:t>Virtualūs partnerių susitikimai - deklaruojami projekto valdymo ir įgyvendinimo išlaidų kategorijoje. Kai dotacijos gavėjai organizuoja virtualius susitikimus, jie neturi teisės gauti fiksuotos normos lėšų už tarptautinius projekto susitikimus iš tarptautinių partnerių susitikimų biudžeto kategorijos.</w:t>
            </w:r>
          </w:p>
          <w:p w14:paraId="3B2C443A" w14:textId="387A079B" w:rsidR="003E5723" w:rsidRPr="00E0700C" w:rsidRDefault="003E5723" w:rsidP="003E5723">
            <w:pPr>
              <w:tabs>
                <w:tab w:val="left" w:pos="318"/>
              </w:tabs>
              <w:spacing w:after="120"/>
              <w:ind w:left="360" w:hanging="335"/>
              <w:jc w:val="both"/>
              <w:rPr>
                <w:rFonts w:ascii="Times New Roman" w:hAnsi="Times New Roman" w:cs="Times New Roman"/>
                <w:color w:val="000000" w:themeColor="text1"/>
                <w:sz w:val="24"/>
                <w:szCs w:val="24"/>
              </w:rPr>
            </w:pPr>
            <w:r w:rsidRPr="00545D85">
              <w:rPr>
                <w:rFonts w:ascii="Times New Roman" w:hAnsi="Times New Roman" w:cs="Times New Roman"/>
                <w:color w:val="000000" w:themeColor="text1"/>
                <w:sz w:val="24"/>
                <w:szCs w:val="24"/>
              </w:rPr>
              <w:lastRenderedPageBreak/>
              <w:t>2)</w:t>
            </w:r>
            <w:r w:rsidRPr="00545D85">
              <w:rPr>
                <w:rFonts w:ascii="Times New Roman" w:hAnsi="Times New Roman" w:cs="Times New Roman"/>
                <w:color w:val="000000" w:themeColor="text1"/>
                <w:sz w:val="24"/>
                <w:szCs w:val="24"/>
              </w:rPr>
              <w:tab/>
              <w:t>Virtualūs intelektinių produktų sklaidos renginiai - deklaruojami intelektinių produktų sklaidos renginių išlaidų kategorijoje. Vienam dalyviui skiriama dotacija sudaro 15 % fiksuotos sumos, skiriamos vietos dalyviams (</w:t>
            </w:r>
            <w:proofErr w:type="spellStart"/>
            <w:r w:rsidRPr="00545D85">
              <w:rPr>
                <w:rFonts w:ascii="Times New Roman" w:hAnsi="Times New Roman" w:cs="Times New Roman"/>
                <w:color w:val="000000" w:themeColor="text1"/>
                <w:sz w:val="24"/>
                <w:szCs w:val="24"/>
              </w:rPr>
              <w:t>t.y</w:t>
            </w:r>
            <w:proofErr w:type="spellEnd"/>
            <w:r w:rsidRPr="00545D85">
              <w:rPr>
                <w:rFonts w:ascii="Times New Roman" w:hAnsi="Times New Roman" w:cs="Times New Roman"/>
                <w:color w:val="000000" w:themeColor="text1"/>
                <w:sz w:val="24"/>
                <w:szCs w:val="24"/>
              </w:rPr>
              <w:t>. 15 EUR), bet ne daugiau kaip 5 000 EUR vienam projektui.</w:t>
            </w:r>
          </w:p>
        </w:tc>
      </w:tr>
      <w:tr w:rsidR="003E5723" w:rsidRPr="00E0700C" w14:paraId="273BF008" w14:textId="77777777" w:rsidTr="00B55917">
        <w:tc>
          <w:tcPr>
            <w:tcW w:w="2842" w:type="dxa"/>
          </w:tcPr>
          <w:p w14:paraId="047CE1EF" w14:textId="6A29549E" w:rsidR="003E5723" w:rsidRDefault="003E5723" w:rsidP="003E5723">
            <w:pPr>
              <w:pStyle w:val="ListParagraph"/>
              <w:numPr>
                <w:ilvl w:val="0"/>
                <w:numId w:val="11"/>
              </w:numPr>
              <w:tabs>
                <w:tab w:val="left" w:pos="313"/>
              </w:tabs>
              <w:ind w:left="0" w:firstLine="0"/>
              <w:rPr>
                <w:rFonts w:ascii="Times New Roman" w:hAnsi="Times New Roman" w:cs="Times New Roman"/>
                <w:sz w:val="24"/>
                <w:szCs w:val="24"/>
              </w:rPr>
            </w:pPr>
            <w:r w:rsidRPr="00E0700C">
              <w:rPr>
                <w:rFonts w:ascii="Times New Roman" w:hAnsi="Times New Roman" w:cs="Times New Roman"/>
                <w:sz w:val="24"/>
                <w:szCs w:val="24"/>
              </w:rPr>
              <w:lastRenderedPageBreak/>
              <w:t xml:space="preserve">Ar </w:t>
            </w:r>
            <w:r w:rsidRPr="00E0700C">
              <w:rPr>
                <w:rFonts w:ascii="Times New Roman" w:hAnsi="Times New Roman" w:cs="Times New Roman"/>
                <w:color w:val="000000" w:themeColor="text1"/>
                <w:sz w:val="24"/>
                <w:szCs w:val="24"/>
              </w:rPr>
              <w:t>absolventai</w:t>
            </w:r>
            <w:r w:rsidRPr="00E0700C">
              <w:rPr>
                <w:rFonts w:ascii="Times New Roman" w:hAnsi="Times New Roman" w:cs="Times New Roman"/>
                <w:sz w:val="24"/>
                <w:szCs w:val="24"/>
              </w:rPr>
              <w:t xml:space="preserve">, kurių „Erasmus+“ praktika buvo atidėta dėl </w:t>
            </w:r>
            <w:r w:rsidRPr="00E0700C">
              <w:rPr>
                <w:rFonts w:ascii="Times New Roman" w:hAnsi="Times New Roman" w:cs="Times New Roman"/>
                <w:i/>
                <w:sz w:val="24"/>
                <w:szCs w:val="24"/>
              </w:rPr>
              <w:t>force majeure</w:t>
            </w:r>
            <w:r w:rsidRPr="00E0700C">
              <w:rPr>
                <w:rFonts w:ascii="Times New Roman" w:hAnsi="Times New Roman" w:cs="Times New Roman"/>
                <w:sz w:val="24"/>
                <w:szCs w:val="24"/>
              </w:rPr>
              <w:t>, turės galimybę atlikti ją praėjus 12 mėn. laikotarpiui nuo studijų/profesinio mokymo baigimo?</w:t>
            </w:r>
          </w:p>
          <w:p w14:paraId="45F4347D" w14:textId="77777777" w:rsidR="003E5723" w:rsidRPr="00E0700C" w:rsidRDefault="003E5723" w:rsidP="005E3111">
            <w:pPr>
              <w:pStyle w:val="ListParagraph"/>
              <w:tabs>
                <w:tab w:val="left" w:pos="313"/>
              </w:tabs>
              <w:ind w:left="0"/>
              <w:rPr>
                <w:rFonts w:ascii="Times New Roman" w:hAnsi="Times New Roman" w:cs="Times New Roman"/>
                <w:sz w:val="24"/>
                <w:szCs w:val="24"/>
              </w:rPr>
            </w:pPr>
          </w:p>
        </w:tc>
        <w:tc>
          <w:tcPr>
            <w:tcW w:w="6786" w:type="dxa"/>
          </w:tcPr>
          <w:p w14:paraId="448E6EC2" w14:textId="77777777" w:rsidR="003E5723" w:rsidRPr="00E0700C" w:rsidRDefault="003E5723" w:rsidP="003E5723">
            <w:pPr>
              <w:tabs>
                <w:tab w:val="left" w:pos="318"/>
              </w:tabs>
              <w:spacing w:after="120"/>
              <w:jc w:val="both"/>
              <w:rPr>
                <w:rFonts w:ascii="Times New Roman" w:hAnsi="Times New Roman" w:cs="Times New Roman"/>
                <w:color w:val="000000" w:themeColor="text1"/>
                <w:sz w:val="24"/>
                <w:szCs w:val="24"/>
              </w:rPr>
            </w:pPr>
            <w:r w:rsidRPr="00E0700C">
              <w:rPr>
                <w:rFonts w:ascii="Times New Roman" w:hAnsi="Times New Roman" w:cs="Times New Roman"/>
                <w:color w:val="000000" w:themeColor="text1"/>
                <w:sz w:val="24"/>
                <w:szCs w:val="24"/>
              </w:rPr>
              <w:t xml:space="preserve">Atsižvelgiant į </w:t>
            </w:r>
            <w:r w:rsidRPr="00E0700C">
              <w:rPr>
                <w:rFonts w:ascii="Times New Roman" w:hAnsi="Times New Roman" w:cs="Times New Roman"/>
                <w:i/>
                <w:color w:val="000000" w:themeColor="text1"/>
                <w:sz w:val="24"/>
                <w:szCs w:val="24"/>
              </w:rPr>
              <w:t>force majeure</w:t>
            </w:r>
            <w:r w:rsidRPr="00E0700C">
              <w:rPr>
                <w:rFonts w:ascii="Times New Roman" w:hAnsi="Times New Roman" w:cs="Times New Roman"/>
                <w:color w:val="000000" w:themeColor="text1"/>
                <w:sz w:val="24"/>
                <w:szCs w:val="24"/>
              </w:rPr>
              <w:t xml:space="preserve"> aplinkybes, išimties tvarka, laikotarpis, per kurį absolventas gali atlikti praktiką, prailginamas 6 mėn., t. y. iki 18 mėn. po studijų/profesinio mokymo baigimo.</w:t>
            </w:r>
          </w:p>
        </w:tc>
      </w:tr>
      <w:tr w:rsidR="003E5723" w:rsidRPr="00E0700C" w14:paraId="07082829" w14:textId="77777777" w:rsidTr="00B55917">
        <w:tc>
          <w:tcPr>
            <w:tcW w:w="2842" w:type="dxa"/>
          </w:tcPr>
          <w:p w14:paraId="1E6015F9" w14:textId="77777777" w:rsidR="003E5723" w:rsidRDefault="003E5723" w:rsidP="003E5723">
            <w:pPr>
              <w:pStyle w:val="ListParagraph"/>
              <w:numPr>
                <w:ilvl w:val="0"/>
                <w:numId w:val="11"/>
              </w:numPr>
              <w:tabs>
                <w:tab w:val="left" w:pos="313"/>
              </w:tabs>
              <w:ind w:left="0"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Ar yra galimybė esant </w:t>
            </w:r>
            <w:r w:rsidRPr="00993E18">
              <w:rPr>
                <w:rFonts w:ascii="Times New Roman" w:hAnsi="Times New Roman" w:cs="Times New Roman"/>
                <w:i/>
                <w:color w:val="000000" w:themeColor="text1"/>
                <w:sz w:val="24"/>
                <w:szCs w:val="24"/>
              </w:rPr>
              <w:t>force majeure</w:t>
            </w:r>
            <w:r>
              <w:rPr>
                <w:rFonts w:ascii="Times New Roman" w:hAnsi="Times New Roman" w:cs="Times New Roman"/>
                <w:color w:val="000000" w:themeColor="text1"/>
                <w:sz w:val="24"/>
                <w:szCs w:val="24"/>
              </w:rPr>
              <w:t xml:space="preserve"> situacijai sutrumpinti fizinio mobilumo trukmę?</w:t>
            </w:r>
          </w:p>
          <w:p w14:paraId="30CC5F48" w14:textId="1FB5AF11" w:rsidR="003E5723" w:rsidRPr="00E0700C" w:rsidRDefault="003E5723" w:rsidP="003E5723">
            <w:pPr>
              <w:pStyle w:val="ListParagraph"/>
              <w:tabs>
                <w:tab w:val="left" w:pos="313"/>
              </w:tabs>
              <w:ind w:left="0"/>
              <w:rPr>
                <w:rFonts w:ascii="Times New Roman" w:hAnsi="Times New Roman" w:cs="Times New Roman"/>
                <w:sz w:val="24"/>
                <w:szCs w:val="24"/>
              </w:rPr>
            </w:pPr>
          </w:p>
        </w:tc>
        <w:tc>
          <w:tcPr>
            <w:tcW w:w="6786" w:type="dxa"/>
          </w:tcPr>
          <w:p w14:paraId="2B701CA8" w14:textId="60628C98" w:rsidR="003E5723" w:rsidRPr="00E0700C" w:rsidRDefault="003E5723" w:rsidP="003E5723">
            <w:pPr>
              <w:tabs>
                <w:tab w:val="left" w:pos="318"/>
              </w:tabs>
              <w:spacing w:after="120"/>
              <w:jc w:val="both"/>
              <w:rPr>
                <w:rFonts w:ascii="Times New Roman" w:hAnsi="Times New Roman" w:cs="Times New Roman"/>
                <w:color w:val="000000" w:themeColor="text1"/>
                <w:sz w:val="24"/>
                <w:szCs w:val="24"/>
              </w:rPr>
            </w:pPr>
            <w:r w:rsidRPr="00993E18">
              <w:rPr>
                <w:rFonts w:ascii="Times New Roman" w:hAnsi="Times New Roman" w:cs="Times New Roman"/>
                <w:color w:val="000000" w:themeColor="text1"/>
                <w:sz w:val="24"/>
                <w:szCs w:val="24"/>
              </w:rPr>
              <w:t xml:space="preserve">Taip. Esant </w:t>
            </w:r>
            <w:r w:rsidRPr="00993E18">
              <w:rPr>
                <w:rFonts w:ascii="Times New Roman" w:hAnsi="Times New Roman" w:cs="Times New Roman"/>
                <w:i/>
                <w:color w:val="000000" w:themeColor="text1"/>
                <w:sz w:val="24"/>
                <w:szCs w:val="24"/>
              </w:rPr>
              <w:t>force majeure</w:t>
            </w:r>
            <w:r w:rsidRPr="00993E18">
              <w:rPr>
                <w:rFonts w:ascii="Times New Roman" w:hAnsi="Times New Roman" w:cs="Times New Roman"/>
                <w:color w:val="000000" w:themeColor="text1"/>
                <w:sz w:val="24"/>
                <w:szCs w:val="24"/>
              </w:rPr>
              <w:t xml:space="preserve"> situacijai fizinio mobilumo trukmė gali būti sutrumpinta arba atšaukta ir pakeista virtualaus mobilumo. </w:t>
            </w:r>
          </w:p>
        </w:tc>
      </w:tr>
      <w:tr w:rsidR="003E5723" w:rsidRPr="00E0700C" w14:paraId="6FCAA1A7" w14:textId="77777777" w:rsidTr="000E1202">
        <w:tc>
          <w:tcPr>
            <w:tcW w:w="2842" w:type="dxa"/>
            <w:tcBorders>
              <w:bottom w:val="single" w:sz="4" w:space="0" w:color="auto"/>
            </w:tcBorders>
          </w:tcPr>
          <w:p w14:paraId="55BBDCB2" w14:textId="77777777" w:rsidR="003E5723" w:rsidRDefault="003E5723" w:rsidP="003E5723">
            <w:pPr>
              <w:pStyle w:val="ListParagraph"/>
              <w:numPr>
                <w:ilvl w:val="0"/>
                <w:numId w:val="11"/>
              </w:numPr>
              <w:tabs>
                <w:tab w:val="left" w:pos="313"/>
              </w:tabs>
              <w:ind w:left="0" w:firstLine="0"/>
              <w:rPr>
                <w:rFonts w:ascii="Times New Roman" w:hAnsi="Times New Roman" w:cs="Times New Roman"/>
                <w:color w:val="000000" w:themeColor="text1"/>
                <w:sz w:val="24"/>
                <w:szCs w:val="24"/>
              </w:rPr>
            </w:pPr>
            <w:r w:rsidRPr="00E0700C">
              <w:rPr>
                <w:rFonts w:ascii="Times New Roman" w:hAnsi="Times New Roman" w:cs="Times New Roman"/>
                <w:color w:val="000000" w:themeColor="text1"/>
                <w:sz w:val="24"/>
                <w:szCs w:val="24"/>
              </w:rPr>
              <w:t>Kokios yra rekomendacijos dėl mobilumų organizavimo ateityje?</w:t>
            </w:r>
          </w:p>
          <w:p w14:paraId="5A9D0EF7" w14:textId="1809ED41" w:rsidR="003E5723" w:rsidRPr="00E0700C" w:rsidRDefault="003E5723" w:rsidP="003E5723">
            <w:pPr>
              <w:pStyle w:val="ListParagraph"/>
              <w:tabs>
                <w:tab w:val="left" w:pos="313"/>
              </w:tabs>
              <w:ind w:left="0"/>
              <w:rPr>
                <w:rFonts w:ascii="Times New Roman" w:hAnsi="Times New Roman" w:cs="Times New Roman"/>
                <w:sz w:val="24"/>
                <w:szCs w:val="24"/>
              </w:rPr>
            </w:pPr>
          </w:p>
        </w:tc>
        <w:tc>
          <w:tcPr>
            <w:tcW w:w="6786" w:type="dxa"/>
            <w:tcBorders>
              <w:bottom w:val="single" w:sz="4" w:space="0" w:color="auto"/>
            </w:tcBorders>
          </w:tcPr>
          <w:p w14:paraId="7F312F2A" w14:textId="77777777" w:rsidR="003E5723" w:rsidRPr="00E0700C" w:rsidRDefault="003E5723" w:rsidP="003E5723">
            <w:pPr>
              <w:tabs>
                <w:tab w:val="left" w:pos="323"/>
              </w:tabs>
              <w:spacing w:after="60"/>
              <w:ind w:left="34"/>
              <w:jc w:val="both"/>
              <w:rPr>
                <w:rFonts w:ascii="Times New Roman" w:hAnsi="Times New Roman" w:cs="Times New Roman"/>
                <w:color w:val="000000" w:themeColor="text1"/>
                <w:sz w:val="24"/>
                <w:szCs w:val="24"/>
              </w:rPr>
            </w:pPr>
            <w:r w:rsidRPr="00E0700C">
              <w:rPr>
                <w:rFonts w:ascii="Times New Roman" w:hAnsi="Times New Roman" w:cs="Times New Roman"/>
                <w:color w:val="000000" w:themeColor="text1"/>
                <w:sz w:val="24"/>
                <w:szCs w:val="24"/>
              </w:rPr>
              <w:t>Švietimo mainų paramos fondas rekomenduoja „Erasmus+“ projektų vykdytojams ir dalyviams prieš pradedant organizuoti veiklas įprastiniu (fiziniu) būdu ar jose dalyvaujant susipažinti su esamais ribojimais ir atsakingai įvertinti rizikas.</w:t>
            </w:r>
          </w:p>
          <w:p w14:paraId="1CEB68F4" w14:textId="77777777" w:rsidR="003E5723" w:rsidRPr="00E0700C" w:rsidRDefault="003E5723" w:rsidP="003E5723">
            <w:pPr>
              <w:tabs>
                <w:tab w:val="left" w:pos="323"/>
              </w:tabs>
              <w:spacing w:after="60"/>
              <w:ind w:left="34"/>
              <w:jc w:val="both"/>
              <w:rPr>
                <w:rFonts w:ascii="Times New Roman" w:hAnsi="Times New Roman" w:cs="Times New Roman"/>
                <w:color w:val="000000" w:themeColor="text1"/>
                <w:sz w:val="24"/>
                <w:szCs w:val="24"/>
              </w:rPr>
            </w:pPr>
            <w:r w:rsidRPr="00E0700C">
              <w:rPr>
                <w:rFonts w:ascii="Times New Roman" w:hAnsi="Times New Roman" w:cs="Times New Roman"/>
                <w:color w:val="000000" w:themeColor="text1"/>
                <w:sz w:val="24"/>
                <w:szCs w:val="24"/>
              </w:rPr>
              <w:t>Organizacijas, kurios apsisprendė projektų veiklas organizuoti įprasti būdu, kviečiame susipažinti su rekomendacijomis projektų veiklų įgyvendinimui:</w:t>
            </w:r>
          </w:p>
          <w:p w14:paraId="0E261483" w14:textId="016908D9" w:rsidR="003E5723" w:rsidRPr="00FB49AD" w:rsidRDefault="003E5723" w:rsidP="003E5723">
            <w:pPr>
              <w:pStyle w:val="ListParagraph"/>
              <w:numPr>
                <w:ilvl w:val="0"/>
                <w:numId w:val="16"/>
              </w:numPr>
              <w:tabs>
                <w:tab w:val="left" w:pos="323"/>
              </w:tabs>
              <w:spacing w:after="60"/>
              <w:ind w:left="301" w:hanging="284"/>
              <w:jc w:val="both"/>
              <w:rPr>
                <w:rFonts w:ascii="Times New Roman" w:eastAsia="Times New Roman" w:hAnsi="Times New Roman" w:cs="Times New Roman"/>
                <w:color w:val="181717"/>
                <w:sz w:val="24"/>
                <w:szCs w:val="24"/>
                <w:lang w:val="en"/>
              </w:rPr>
            </w:pPr>
            <w:r w:rsidRPr="00FB49AD">
              <w:rPr>
                <w:rFonts w:ascii="Times New Roman" w:eastAsia="Times New Roman" w:hAnsi="Times New Roman" w:cs="Times New Roman"/>
                <w:color w:val="181717"/>
                <w:sz w:val="24"/>
                <w:szCs w:val="24"/>
                <w:lang w:val="en"/>
              </w:rPr>
              <w:t>„</w:t>
            </w:r>
            <w:proofErr w:type="spellStart"/>
            <w:r w:rsidRPr="00FB49AD">
              <w:rPr>
                <w:rFonts w:ascii="Times New Roman" w:eastAsia="Times New Roman" w:hAnsi="Times New Roman" w:cs="Times New Roman"/>
                <w:color w:val="181717"/>
                <w:sz w:val="24"/>
                <w:szCs w:val="24"/>
                <w:lang w:val="en"/>
              </w:rPr>
              <w:fldChar w:fldCharType="begin"/>
            </w:r>
            <w:r w:rsidRPr="00FB49AD">
              <w:rPr>
                <w:rFonts w:ascii="Times New Roman" w:eastAsia="Times New Roman" w:hAnsi="Times New Roman" w:cs="Times New Roman"/>
                <w:color w:val="181717"/>
                <w:sz w:val="24"/>
                <w:szCs w:val="24"/>
                <w:lang w:val="en"/>
              </w:rPr>
              <w:instrText xml:space="preserve"> HYPERLINK "https://erasmus-plius.lt/wp-content/uploads/2020/08/AM-atmintine-2020-09-09.pdf" \t "_blank" </w:instrText>
            </w:r>
            <w:r w:rsidRPr="00FB49AD">
              <w:rPr>
                <w:rFonts w:ascii="Times New Roman" w:eastAsia="Times New Roman" w:hAnsi="Times New Roman" w:cs="Times New Roman"/>
                <w:color w:val="181717"/>
                <w:sz w:val="24"/>
                <w:szCs w:val="24"/>
                <w:lang w:val="en"/>
              </w:rPr>
              <w:fldChar w:fldCharType="separate"/>
            </w:r>
            <w:r w:rsidRPr="00FB49AD">
              <w:rPr>
                <w:rStyle w:val="Hyperlink"/>
                <w:rFonts w:ascii="Times New Roman" w:eastAsia="Times New Roman" w:hAnsi="Times New Roman" w:cs="Times New Roman"/>
                <w:sz w:val="24"/>
                <w:szCs w:val="24"/>
                <w:lang w:val="en"/>
              </w:rPr>
              <w:t>Rekomendacijos</w:t>
            </w:r>
            <w:proofErr w:type="spellEnd"/>
            <w:r w:rsidRPr="00FB49AD">
              <w:rPr>
                <w:rStyle w:val="Hyperlink"/>
                <w:rFonts w:ascii="Times New Roman" w:eastAsia="Times New Roman" w:hAnsi="Times New Roman" w:cs="Times New Roman"/>
                <w:sz w:val="24"/>
                <w:szCs w:val="24"/>
                <w:lang w:val="en"/>
              </w:rPr>
              <w:t xml:space="preserve"> „Erasmus+</w:t>
            </w:r>
            <w:proofErr w:type="gramStart"/>
            <w:r w:rsidRPr="00FB49AD">
              <w:rPr>
                <w:rStyle w:val="Hyperlink"/>
                <w:rFonts w:ascii="Times New Roman" w:eastAsia="Times New Roman" w:hAnsi="Times New Roman" w:cs="Times New Roman"/>
                <w:sz w:val="24"/>
                <w:szCs w:val="24"/>
                <w:lang w:val="en"/>
              </w:rPr>
              <w:t xml:space="preserve">“ </w:t>
            </w:r>
            <w:proofErr w:type="spellStart"/>
            <w:r w:rsidRPr="00FB49AD">
              <w:rPr>
                <w:rStyle w:val="Hyperlink"/>
                <w:rFonts w:ascii="Times New Roman" w:eastAsia="Times New Roman" w:hAnsi="Times New Roman" w:cs="Times New Roman"/>
                <w:sz w:val="24"/>
                <w:szCs w:val="24"/>
                <w:lang w:val="en"/>
              </w:rPr>
              <w:t>mobilumo</w:t>
            </w:r>
            <w:proofErr w:type="spellEnd"/>
            <w:proofErr w:type="gramEnd"/>
            <w:r w:rsidRPr="00FB49AD">
              <w:rPr>
                <w:rStyle w:val="Hyperlink"/>
                <w:rFonts w:ascii="Times New Roman" w:eastAsia="Times New Roman" w:hAnsi="Times New Roman" w:cs="Times New Roman"/>
                <w:sz w:val="24"/>
                <w:szCs w:val="24"/>
                <w:lang w:val="en"/>
              </w:rPr>
              <w:t xml:space="preserve"> </w:t>
            </w:r>
            <w:proofErr w:type="spellStart"/>
            <w:r w:rsidRPr="00FB49AD">
              <w:rPr>
                <w:rStyle w:val="Hyperlink"/>
                <w:rFonts w:ascii="Times New Roman" w:eastAsia="Times New Roman" w:hAnsi="Times New Roman" w:cs="Times New Roman"/>
                <w:sz w:val="24"/>
                <w:szCs w:val="24"/>
                <w:lang w:val="en"/>
              </w:rPr>
              <w:t>projektus</w:t>
            </w:r>
            <w:proofErr w:type="spellEnd"/>
            <w:r w:rsidRPr="00FB49AD">
              <w:rPr>
                <w:rStyle w:val="Hyperlink"/>
                <w:rFonts w:ascii="Times New Roman" w:eastAsia="Times New Roman" w:hAnsi="Times New Roman" w:cs="Times New Roman"/>
                <w:sz w:val="24"/>
                <w:szCs w:val="24"/>
                <w:lang w:val="en"/>
              </w:rPr>
              <w:t xml:space="preserve"> </w:t>
            </w:r>
            <w:proofErr w:type="spellStart"/>
            <w:r w:rsidRPr="00FB49AD">
              <w:rPr>
                <w:rStyle w:val="Hyperlink"/>
                <w:rFonts w:ascii="Times New Roman" w:eastAsia="Times New Roman" w:hAnsi="Times New Roman" w:cs="Times New Roman"/>
                <w:sz w:val="24"/>
                <w:szCs w:val="24"/>
                <w:lang w:val="en"/>
              </w:rPr>
              <w:t>įgyvendinančioms</w:t>
            </w:r>
            <w:proofErr w:type="spellEnd"/>
            <w:r w:rsidRPr="00FB49AD">
              <w:rPr>
                <w:rStyle w:val="Hyperlink"/>
                <w:rFonts w:ascii="Times New Roman" w:eastAsia="Times New Roman" w:hAnsi="Times New Roman" w:cs="Times New Roman"/>
                <w:sz w:val="24"/>
                <w:szCs w:val="24"/>
                <w:lang w:val="en"/>
              </w:rPr>
              <w:t xml:space="preserve"> </w:t>
            </w:r>
            <w:proofErr w:type="spellStart"/>
            <w:r w:rsidRPr="00FB49AD">
              <w:rPr>
                <w:rStyle w:val="Hyperlink"/>
                <w:rFonts w:ascii="Times New Roman" w:eastAsia="Times New Roman" w:hAnsi="Times New Roman" w:cs="Times New Roman"/>
                <w:sz w:val="24"/>
                <w:szCs w:val="24"/>
                <w:lang w:val="en"/>
              </w:rPr>
              <w:t>organizacijoms</w:t>
            </w:r>
            <w:proofErr w:type="spellEnd"/>
            <w:r w:rsidRPr="00FB49AD">
              <w:rPr>
                <w:rStyle w:val="Hyperlink"/>
                <w:rFonts w:ascii="Times New Roman" w:eastAsia="Times New Roman" w:hAnsi="Times New Roman" w:cs="Times New Roman"/>
                <w:sz w:val="24"/>
                <w:szCs w:val="24"/>
                <w:lang w:val="en"/>
              </w:rPr>
              <w:t xml:space="preserve"> </w:t>
            </w:r>
            <w:proofErr w:type="spellStart"/>
            <w:r w:rsidRPr="00FB49AD">
              <w:rPr>
                <w:rStyle w:val="Hyperlink"/>
                <w:rFonts w:ascii="Times New Roman" w:eastAsia="Times New Roman" w:hAnsi="Times New Roman" w:cs="Times New Roman"/>
                <w:sz w:val="24"/>
                <w:szCs w:val="24"/>
                <w:lang w:val="en"/>
              </w:rPr>
              <w:t>karantininiu</w:t>
            </w:r>
            <w:proofErr w:type="spellEnd"/>
            <w:r w:rsidRPr="00FB49AD">
              <w:rPr>
                <w:rStyle w:val="Hyperlink"/>
                <w:rFonts w:ascii="Times New Roman" w:eastAsia="Times New Roman" w:hAnsi="Times New Roman" w:cs="Times New Roman"/>
                <w:sz w:val="24"/>
                <w:szCs w:val="24"/>
                <w:lang w:val="en"/>
              </w:rPr>
              <w:t xml:space="preserve"> </w:t>
            </w:r>
            <w:proofErr w:type="spellStart"/>
            <w:r w:rsidRPr="00FB49AD">
              <w:rPr>
                <w:rStyle w:val="Hyperlink"/>
                <w:rFonts w:ascii="Times New Roman" w:eastAsia="Times New Roman" w:hAnsi="Times New Roman" w:cs="Times New Roman"/>
                <w:sz w:val="24"/>
                <w:szCs w:val="24"/>
                <w:lang w:val="en"/>
              </w:rPr>
              <w:t>laikotarpiu</w:t>
            </w:r>
            <w:proofErr w:type="spellEnd"/>
            <w:r w:rsidRPr="00FB49AD">
              <w:rPr>
                <w:rFonts w:ascii="Times New Roman" w:eastAsia="Times New Roman" w:hAnsi="Times New Roman" w:cs="Times New Roman"/>
                <w:color w:val="181717"/>
                <w:sz w:val="24"/>
                <w:szCs w:val="24"/>
              </w:rPr>
              <w:fldChar w:fldCharType="end"/>
            </w:r>
            <w:r w:rsidRPr="00FB49AD">
              <w:rPr>
                <w:rFonts w:ascii="Times New Roman" w:eastAsia="Times New Roman" w:hAnsi="Times New Roman" w:cs="Times New Roman"/>
                <w:color w:val="181717"/>
                <w:sz w:val="24"/>
                <w:szCs w:val="24"/>
                <w:lang w:val="en"/>
              </w:rPr>
              <w:t>“ (</w:t>
            </w:r>
            <w:proofErr w:type="spellStart"/>
            <w:r w:rsidRPr="00FB49AD">
              <w:rPr>
                <w:rFonts w:ascii="Times New Roman" w:eastAsia="Times New Roman" w:hAnsi="Times New Roman" w:cs="Times New Roman"/>
                <w:color w:val="181717"/>
                <w:sz w:val="24"/>
                <w:szCs w:val="24"/>
                <w:lang w:val="en"/>
              </w:rPr>
              <w:t>taikoma</w:t>
            </w:r>
            <w:proofErr w:type="spellEnd"/>
            <w:r w:rsidRPr="00FB49AD">
              <w:rPr>
                <w:rFonts w:ascii="Times New Roman" w:eastAsia="Times New Roman" w:hAnsi="Times New Roman" w:cs="Times New Roman"/>
                <w:color w:val="181717"/>
                <w:sz w:val="24"/>
                <w:szCs w:val="24"/>
                <w:lang w:val="en"/>
              </w:rPr>
              <w:t xml:space="preserve"> </w:t>
            </w:r>
            <w:proofErr w:type="spellStart"/>
            <w:r w:rsidRPr="00FB49AD">
              <w:rPr>
                <w:rFonts w:ascii="Times New Roman" w:eastAsia="Times New Roman" w:hAnsi="Times New Roman" w:cs="Times New Roman"/>
                <w:color w:val="181717"/>
                <w:sz w:val="24"/>
                <w:szCs w:val="24"/>
                <w:lang w:val="en"/>
              </w:rPr>
              <w:t>aukštojo</w:t>
            </w:r>
            <w:proofErr w:type="spellEnd"/>
            <w:r w:rsidRPr="00FB49AD">
              <w:rPr>
                <w:rFonts w:ascii="Times New Roman" w:eastAsia="Times New Roman" w:hAnsi="Times New Roman" w:cs="Times New Roman"/>
                <w:color w:val="181717"/>
                <w:sz w:val="24"/>
                <w:szCs w:val="24"/>
                <w:lang w:val="en"/>
              </w:rPr>
              <w:t xml:space="preserve"> </w:t>
            </w:r>
            <w:proofErr w:type="spellStart"/>
            <w:r w:rsidRPr="00FB49AD">
              <w:rPr>
                <w:rFonts w:ascii="Times New Roman" w:eastAsia="Times New Roman" w:hAnsi="Times New Roman" w:cs="Times New Roman"/>
                <w:color w:val="181717"/>
                <w:sz w:val="24"/>
                <w:szCs w:val="24"/>
                <w:lang w:val="en"/>
              </w:rPr>
              <w:t>mokslo</w:t>
            </w:r>
            <w:proofErr w:type="spellEnd"/>
            <w:r w:rsidRPr="00FB49AD">
              <w:rPr>
                <w:rFonts w:ascii="Times New Roman" w:eastAsia="Times New Roman" w:hAnsi="Times New Roman" w:cs="Times New Roman"/>
                <w:color w:val="181717"/>
                <w:sz w:val="24"/>
                <w:szCs w:val="24"/>
                <w:lang w:val="en"/>
              </w:rPr>
              <w:t xml:space="preserve"> </w:t>
            </w:r>
            <w:proofErr w:type="spellStart"/>
            <w:r w:rsidRPr="00FB49AD">
              <w:rPr>
                <w:rFonts w:ascii="Times New Roman" w:eastAsia="Times New Roman" w:hAnsi="Times New Roman" w:cs="Times New Roman"/>
                <w:color w:val="181717"/>
                <w:sz w:val="24"/>
                <w:szCs w:val="24"/>
                <w:lang w:val="en"/>
              </w:rPr>
              <w:t>sričiai</w:t>
            </w:r>
            <w:proofErr w:type="spellEnd"/>
            <w:r w:rsidRPr="00FB49AD">
              <w:rPr>
                <w:rFonts w:ascii="Times New Roman" w:eastAsia="Times New Roman" w:hAnsi="Times New Roman" w:cs="Times New Roman"/>
                <w:color w:val="181717"/>
                <w:sz w:val="24"/>
                <w:szCs w:val="24"/>
                <w:lang w:val="en"/>
              </w:rPr>
              <w:t>).</w:t>
            </w:r>
          </w:p>
          <w:p w14:paraId="65ED9E15" w14:textId="77777777" w:rsidR="003E5723" w:rsidRPr="00FB49AD" w:rsidRDefault="003E5723" w:rsidP="003E5723">
            <w:pPr>
              <w:pStyle w:val="ListParagraph"/>
              <w:numPr>
                <w:ilvl w:val="0"/>
                <w:numId w:val="16"/>
              </w:numPr>
              <w:tabs>
                <w:tab w:val="left" w:pos="323"/>
              </w:tabs>
              <w:spacing w:after="60"/>
              <w:ind w:left="301" w:hanging="284"/>
              <w:jc w:val="both"/>
              <w:rPr>
                <w:rFonts w:ascii="Times New Roman" w:eastAsia="Times New Roman" w:hAnsi="Times New Roman" w:cs="Times New Roman"/>
                <w:color w:val="181717"/>
                <w:sz w:val="24"/>
                <w:szCs w:val="24"/>
                <w:lang w:val="en"/>
              </w:rPr>
            </w:pPr>
            <w:r w:rsidRPr="00FB49AD">
              <w:rPr>
                <w:rFonts w:ascii="Times New Roman" w:eastAsia="Times New Roman" w:hAnsi="Times New Roman" w:cs="Times New Roman"/>
                <w:color w:val="181717"/>
                <w:sz w:val="24"/>
                <w:szCs w:val="24"/>
                <w:lang w:val="en"/>
              </w:rPr>
              <w:t>„</w:t>
            </w:r>
            <w:proofErr w:type="spellStart"/>
            <w:r w:rsidRPr="00FB49AD">
              <w:rPr>
                <w:rFonts w:ascii="Times New Roman" w:eastAsia="Times New Roman" w:hAnsi="Times New Roman" w:cs="Times New Roman"/>
                <w:color w:val="181717"/>
                <w:sz w:val="24"/>
                <w:szCs w:val="24"/>
                <w:lang w:val="en"/>
              </w:rPr>
              <w:fldChar w:fldCharType="begin"/>
            </w:r>
            <w:r w:rsidRPr="00FB49AD">
              <w:rPr>
                <w:rFonts w:ascii="Times New Roman" w:eastAsia="Times New Roman" w:hAnsi="Times New Roman" w:cs="Times New Roman"/>
                <w:color w:val="181717"/>
                <w:sz w:val="24"/>
                <w:szCs w:val="24"/>
                <w:lang w:val="en"/>
              </w:rPr>
              <w:instrText xml:space="preserve"> HYPERLINK "https://www.smm.lt/web/lt/pranesimai_spaudai/aukstosios-mokyklos-tures-uztikrinti-izoliacijos-salygas-atvykusiems-uzsienio-studentams" \t "_blank" </w:instrText>
            </w:r>
            <w:r w:rsidRPr="00FB49AD">
              <w:rPr>
                <w:rFonts w:ascii="Times New Roman" w:eastAsia="Times New Roman" w:hAnsi="Times New Roman" w:cs="Times New Roman"/>
                <w:color w:val="181717"/>
                <w:sz w:val="24"/>
                <w:szCs w:val="24"/>
                <w:lang w:val="en"/>
              </w:rPr>
              <w:fldChar w:fldCharType="separate"/>
            </w:r>
            <w:r w:rsidRPr="00FB49AD">
              <w:rPr>
                <w:rStyle w:val="Hyperlink"/>
                <w:rFonts w:ascii="Times New Roman" w:eastAsia="Times New Roman" w:hAnsi="Times New Roman" w:cs="Times New Roman"/>
                <w:sz w:val="24"/>
                <w:szCs w:val="24"/>
                <w:lang w:val="en"/>
              </w:rPr>
              <w:t>Rekomendacija</w:t>
            </w:r>
            <w:proofErr w:type="spellEnd"/>
            <w:r w:rsidRPr="00FB49AD">
              <w:rPr>
                <w:rStyle w:val="Hyperlink"/>
                <w:rFonts w:ascii="Times New Roman" w:eastAsia="Times New Roman" w:hAnsi="Times New Roman" w:cs="Times New Roman"/>
                <w:sz w:val="24"/>
                <w:szCs w:val="24"/>
                <w:lang w:val="en"/>
              </w:rPr>
              <w:t xml:space="preserve"> </w:t>
            </w:r>
            <w:proofErr w:type="spellStart"/>
            <w:r w:rsidRPr="00FB49AD">
              <w:rPr>
                <w:rStyle w:val="Hyperlink"/>
                <w:rFonts w:ascii="Times New Roman" w:eastAsia="Times New Roman" w:hAnsi="Times New Roman" w:cs="Times New Roman"/>
                <w:sz w:val="24"/>
                <w:szCs w:val="24"/>
                <w:lang w:val="en"/>
              </w:rPr>
              <w:t>mokslo</w:t>
            </w:r>
            <w:proofErr w:type="spellEnd"/>
            <w:r w:rsidRPr="00FB49AD">
              <w:rPr>
                <w:rStyle w:val="Hyperlink"/>
                <w:rFonts w:ascii="Times New Roman" w:eastAsia="Times New Roman" w:hAnsi="Times New Roman" w:cs="Times New Roman"/>
                <w:sz w:val="24"/>
                <w:szCs w:val="24"/>
                <w:lang w:val="en"/>
              </w:rPr>
              <w:t xml:space="preserve"> </w:t>
            </w:r>
            <w:proofErr w:type="spellStart"/>
            <w:r w:rsidRPr="00FB49AD">
              <w:rPr>
                <w:rStyle w:val="Hyperlink"/>
                <w:rFonts w:ascii="Times New Roman" w:eastAsia="Times New Roman" w:hAnsi="Times New Roman" w:cs="Times New Roman"/>
                <w:sz w:val="24"/>
                <w:szCs w:val="24"/>
                <w:lang w:val="en"/>
              </w:rPr>
              <w:t>ir</w:t>
            </w:r>
            <w:proofErr w:type="spellEnd"/>
            <w:r w:rsidRPr="00FB49AD">
              <w:rPr>
                <w:rStyle w:val="Hyperlink"/>
                <w:rFonts w:ascii="Times New Roman" w:eastAsia="Times New Roman" w:hAnsi="Times New Roman" w:cs="Times New Roman"/>
                <w:sz w:val="24"/>
                <w:szCs w:val="24"/>
                <w:lang w:val="en"/>
              </w:rPr>
              <w:t xml:space="preserve"> </w:t>
            </w:r>
            <w:proofErr w:type="spellStart"/>
            <w:r w:rsidRPr="00FB49AD">
              <w:rPr>
                <w:rStyle w:val="Hyperlink"/>
                <w:rFonts w:ascii="Times New Roman" w:eastAsia="Times New Roman" w:hAnsi="Times New Roman" w:cs="Times New Roman"/>
                <w:sz w:val="24"/>
                <w:szCs w:val="24"/>
                <w:lang w:val="en"/>
              </w:rPr>
              <w:t>studijų</w:t>
            </w:r>
            <w:proofErr w:type="spellEnd"/>
            <w:r w:rsidRPr="00FB49AD">
              <w:rPr>
                <w:rStyle w:val="Hyperlink"/>
                <w:rFonts w:ascii="Times New Roman" w:eastAsia="Times New Roman" w:hAnsi="Times New Roman" w:cs="Times New Roman"/>
                <w:sz w:val="24"/>
                <w:szCs w:val="24"/>
                <w:lang w:val="en"/>
              </w:rPr>
              <w:t xml:space="preserve"> </w:t>
            </w:r>
            <w:proofErr w:type="spellStart"/>
            <w:r w:rsidRPr="00FB49AD">
              <w:rPr>
                <w:rStyle w:val="Hyperlink"/>
                <w:rFonts w:ascii="Times New Roman" w:eastAsia="Times New Roman" w:hAnsi="Times New Roman" w:cs="Times New Roman"/>
                <w:sz w:val="24"/>
                <w:szCs w:val="24"/>
                <w:lang w:val="en"/>
              </w:rPr>
              <w:t>institucijoms</w:t>
            </w:r>
            <w:proofErr w:type="spellEnd"/>
            <w:r w:rsidRPr="00FB49AD">
              <w:rPr>
                <w:rStyle w:val="Hyperlink"/>
                <w:rFonts w:ascii="Times New Roman" w:eastAsia="Times New Roman" w:hAnsi="Times New Roman" w:cs="Times New Roman"/>
                <w:sz w:val="24"/>
                <w:szCs w:val="24"/>
                <w:lang w:val="en"/>
              </w:rPr>
              <w:t xml:space="preserve"> </w:t>
            </w:r>
            <w:proofErr w:type="spellStart"/>
            <w:r w:rsidRPr="00FB49AD">
              <w:rPr>
                <w:rStyle w:val="Hyperlink"/>
                <w:rFonts w:ascii="Times New Roman" w:eastAsia="Times New Roman" w:hAnsi="Times New Roman" w:cs="Times New Roman"/>
                <w:sz w:val="24"/>
                <w:szCs w:val="24"/>
                <w:lang w:val="en"/>
              </w:rPr>
              <w:t>dėl</w:t>
            </w:r>
            <w:proofErr w:type="spellEnd"/>
            <w:r w:rsidRPr="00FB49AD">
              <w:rPr>
                <w:rStyle w:val="Hyperlink"/>
                <w:rFonts w:ascii="Times New Roman" w:eastAsia="Times New Roman" w:hAnsi="Times New Roman" w:cs="Times New Roman"/>
                <w:sz w:val="24"/>
                <w:szCs w:val="24"/>
                <w:lang w:val="en"/>
              </w:rPr>
              <w:t xml:space="preserve"> </w:t>
            </w:r>
            <w:proofErr w:type="spellStart"/>
            <w:r w:rsidRPr="00FB49AD">
              <w:rPr>
                <w:rStyle w:val="Hyperlink"/>
                <w:rFonts w:ascii="Times New Roman" w:eastAsia="Times New Roman" w:hAnsi="Times New Roman" w:cs="Times New Roman"/>
                <w:sz w:val="24"/>
                <w:szCs w:val="24"/>
                <w:lang w:val="en"/>
              </w:rPr>
              <w:t>užsienio</w:t>
            </w:r>
            <w:proofErr w:type="spellEnd"/>
            <w:r w:rsidRPr="00FB49AD">
              <w:rPr>
                <w:rStyle w:val="Hyperlink"/>
                <w:rFonts w:ascii="Times New Roman" w:eastAsia="Times New Roman" w:hAnsi="Times New Roman" w:cs="Times New Roman"/>
                <w:sz w:val="24"/>
                <w:szCs w:val="24"/>
                <w:lang w:val="en"/>
              </w:rPr>
              <w:t xml:space="preserve"> </w:t>
            </w:r>
            <w:proofErr w:type="spellStart"/>
            <w:r w:rsidRPr="00FB49AD">
              <w:rPr>
                <w:rStyle w:val="Hyperlink"/>
                <w:rFonts w:ascii="Times New Roman" w:eastAsia="Times New Roman" w:hAnsi="Times New Roman" w:cs="Times New Roman"/>
                <w:sz w:val="24"/>
                <w:szCs w:val="24"/>
                <w:lang w:val="en"/>
              </w:rPr>
              <w:t>studentų</w:t>
            </w:r>
            <w:proofErr w:type="spellEnd"/>
            <w:r w:rsidRPr="00FB49AD">
              <w:rPr>
                <w:rStyle w:val="Hyperlink"/>
                <w:rFonts w:ascii="Times New Roman" w:eastAsia="Times New Roman" w:hAnsi="Times New Roman" w:cs="Times New Roman"/>
                <w:sz w:val="24"/>
                <w:szCs w:val="24"/>
                <w:lang w:val="en"/>
              </w:rPr>
              <w:t xml:space="preserve"> </w:t>
            </w:r>
            <w:proofErr w:type="spellStart"/>
            <w:r w:rsidRPr="00FB49AD">
              <w:rPr>
                <w:rStyle w:val="Hyperlink"/>
                <w:rFonts w:ascii="Times New Roman" w:eastAsia="Times New Roman" w:hAnsi="Times New Roman" w:cs="Times New Roman"/>
                <w:sz w:val="24"/>
                <w:szCs w:val="24"/>
                <w:lang w:val="en"/>
              </w:rPr>
              <w:t>priėmimo</w:t>
            </w:r>
            <w:proofErr w:type="spellEnd"/>
            <w:r w:rsidRPr="00FB49AD">
              <w:rPr>
                <w:rFonts w:ascii="Times New Roman" w:eastAsia="Times New Roman" w:hAnsi="Times New Roman" w:cs="Times New Roman"/>
                <w:color w:val="181717"/>
                <w:sz w:val="24"/>
                <w:szCs w:val="24"/>
              </w:rPr>
              <w:fldChar w:fldCharType="end"/>
            </w:r>
            <w:proofErr w:type="gramStart"/>
            <w:r w:rsidRPr="00FB49AD">
              <w:rPr>
                <w:rFonts w:ascii="Times New Roman" w:eastAsia="Times New Roman" w:hAnsi="Times New Roman" w:cs="Times New Roman"/>
                <w:color w:val="181717"/>
                <w:sz w:val="24"/>
                <w:szCs w:val="24"/>
                <w:lang w:val="en"/>
              </w:rPr>
              <w:t>“ (</w:t>
            </w:r>
            <w:proofErr w:type="spellStart"/>
            <w:proofErr w:type="gramEnd"/>
            <w:r w:rsidRPr="00FB49AD">
              <w:rPr>
                <w:rFonts w:ascii="Times New Roman" w:eastAsia="Times New Roman" w:hAnsi="Times New Roman" w:cs="Times New Roman"/>
                <w:color w:val="181717"/>
                <w:sz w:val="24"/>
                <w:szCs w:val="24"/>
                <w:lang w:val="en"/>
              </w:rPr>
              <w:t>taikoma</w:t>
            </w:r>
            <w:proofErr w:type="spellEnd"/>
            <w:r w:rsidRPr="00FB49AD">
              <w:rPr>
                <w:rFonts w:ascii="Times New Roman" w:eastAsia="Times New Roman" w:hAnsi="Times New Roman" w:cs="Times New Roman"/>
                <w:color w:val="181717"/>
                <w:sz w:val="24"/>
                <w:szCs w:val="24"/>
                <w:lang w:val="en"/>
              </w:rPr>
              <w:t xml:space="preserve"> </w:t>
            </w:r>
            <w:proofErr w:type="spellStart"/>
            <w:r w:rsidRPr="00FB49AD">
              <w:rPr>
                <w:rFonts w:ascii="Times New Roman" w:eastAsia="Times New Roman" w:hAnsi="Times New Roman" w:cs="Times New Roman"/>
                <w:color w:val="181717"/>
                <w:sz w:val="24"/>
                <w:szCs w:val="24"/>
                <w:lang w:val="en"/>
              </w:rPr>
              <w:t>aukštojo</w:t>
            </w:r>
            <w:proofErr w:type="spellEnd"/>
            <w:r w:rsidRPr="00FB49AD">
              <w:rPr>
                <w:rFonts w:ascii="Times New Roman" w:eastAsia="Times New Roman" w:hAnsi="Times New Roman" w:cs="Times New Roman"/>
                <w:color w:val="181717"/>
                <w:sz w:val="24"/>
                <w:szCs w:val="24"/>
                <w:lang w:val="en"/>
              </w:rPr>
              <w:t xml:space="preserve"> </w:t>
            </w:r>
            <w:proofErr w:type="spellStart"/>
            <w:r w:rsidRPr="00FB49AD">
              <w:rPr>
                <w:rFonts w:ascii="Times New Roman" w:eastAsia="Times New Roman" w:hAnsi="Times New Roman" w:cs="Times New Roman"/>
                <w:color w:val="181717"/>
                <w:sz w:val="24"/>
                <w:szCs w:val="24"/>
                <w:lang w:val="en"/>
              </w:rPr>
              <w:t>mokslo</w:t>
            </w:r>
            <w:proofErr w:type="spellEnd"/>
            <w:r w:rsidRPr="00FB49AD">
              <w:rPr>
                <w:rFonts w:ascii="Times New Roman" w:eastAsia="Times New Roman" w:hAnsi="Times New Roman" w:cs="Times New Roman"/>
                <w:color w:val="181717"/>
                <w:sz w:val="24"/>
                <w:szCs w:val="24"/>
                <w:lang w:val="en"/>
              </w:rPr>
              <w:t xml:space="preserve"> </w:t>
            </w:r>
            <w:proofErr w:type="spellStart"/>
            <w:r w:rsidRPr="00FB49AD">
              <w:rPr>
                <w:rFonts w:ascii="Times New Roman" w:eastAsia="Times New Roman" w:hAnsi="Times New Roman" w:cs="Times New Roman"/>
                <w:color w:val="181717"/>
                <w:sz w:val="24"/>
                <w:szCs w:val="24"/>
                <w:lang w:val="en"/>
              </w:rPr>
              <w:t>sričiai</w:t>
            </w:r>
            <w:proofErr w:type="spellEnd"/>
            <w:r w:rsidRPr="00FB49AD">
              <w:rPr>
                <w:rFonts w:ascii="Times New Roman" w:eastAsia="Times New Roman" w:hAnsi="Times New Roman" w:cs="Times New Roman"/>
                <w:color w:val="181717"/>
                <w:sz w:val="24"/>
                <w:szCs w:val="24"/>
                <w:lang w:val="en"/>
              </w:rPr>
              <w:t>).</w:t>
            </w:r>
          </w:p>
          <w:p w14:paraId="56540181" w14:textId="26627711" w:rsidR="003E5723" w:rsidRPr="00E0700C" w:rsidRDefault="003E5723" w:rsidP="003E5723">
            <w:pPr>
              <w:pStyle w:val="ListParagraph"/>
              <w:numPr>
                <w:ilvl w:val="0"/>
                <w:numId w:val="16"/>
              </w:numPr>
              <w:tabs>
                <w:tab w:val="left" w:pos="323"/>
              </w:tabs>
              <w:spacing w:after="60"/>
              <w:ind w:left="301" w:hanging="284"/>
              <w:jc w:val="both"/>
              <w:rPr>
                <w:rFonts w:ascii="Times New Roman" w:hAnsi="Times New Roman" w:cs="Times New Roman"/>
                <w:color w:val="000000" w:themeColor="text1"/>
                <w:sz w:val="24"/>
                <w:szCs w:val="24"/>
              </w:rPr>
            </w:pPr>
            <w:r w:rsidRPr="00FB49AD">
              <w:rPr>
                <w:rFonts w:ascii="Times New Roman" w:eastAsia="Times New Roman" w:hAnsi="Times New Roman" w:cs="Times New Roman"/>
                <w:color w:val="181717"/>
                <w:sz w:val="24"/>
                <w:szCs w:val="24"/>
                <w:lang w:val="en"/>
              </w:rPr>
              <w:t>„</w:t>
            </w:r>
            <w:proofErr w:type="spellStart"/>
            <w:r w:rsidR="00686ECC">
              <w:rPr>
                <w:rFonts w:ascii="Times New Roman" w:eastAsia="Times New Roman" w:hAnsi="Times New Roman" w:cs="Times New Roman"/>
                <w:color w:val="181717"/>
                <w:sz w:val="24"/>
                <w:szCs w:val="24"/>
                <w:lang w:val="en"/>
              </w:rPr>
              <w:fldChar w:fldCharType="begin"/>
            </w:r>
            <w:r w:rsidR="00686ECC">
              <w:rPr>
                <w:rFonts w:ascii="Times New Roman" w:eastAsia="Times New Roman" w:hAnsi="Times New Roman" w:cs="Times New Roman"/>
                <w:color w:val="181717"/>
                <w:sz w:val="24"/>
                <w:szCs w:val="24"/>
                <w:lang w:val="en"/>
              </w:rPr>
              <w:instrText xml:space="preserve"> HYPERLINK "https://erasmus-plius.lt/wp-content/uploads/2020/10/MOBILUMAI-karantininiu-laikotarpiu.docx" </w:instrText>
            </w:r>
            <w:r w:rsidR="00686ECC">
              <w:rPr>
                <w:rFonts w:ascii="Times New Roman" w:eastAsia="Times New Roman" w:hAnsi="Times New Roman" w:cs="Times New Roman"/>
                <w:color w:val="181717"/>
                <w:sz w:val="24"/>
                <w:szCs w:val="24"/>
                <w:lang w:val="en"/>
              </w:rPr>
            </w:r>
            <w:r w:rsidR="00686ECC">
              <w:rPr>
                <w:rFonts w:ascii="Times New Roman" w:eastAsia="Times New Roman" w:hAnsi="Times New Roman" w:cs="Times New Roman"/>
                <w:color w:val="181717"/>
                <w:sz w:val="24"/>
                <w:szCs w:val="24"/>
                <w:lang w:val="en"/>
              </w:rPr>
              <w:fldChar w:fldCharType="separate"/>
            </w:r>
            <w:r w:rsidRPr="00686ECC">
              <w:rPr>
                <w:rStyle w:val="Hyperlink"/>
                <w:rFonts w:ascii="Times New Roman" w:eastAsia="Times New Roman" w:hAnsi="Times New Roman" w:cs="Times New Roman"/>
                <w:sz w:val="24"/>
                <w:szCs w:val="24"/>
                <w:lang w:val="en"/>
              </w:rPr>
              <w:t>Rekomendacijos</w:t>
            </w:r>
            <w:proofErr w:type="spellEnd"/>
            <w:r w:rsidRPr="00686ECC">
              <w:rPr>
                <w:rStyle w:val="Hyperlink"/>
                <w:rFonts w:ascii="Times New Roman" w:eastAsia="Times New Roman" w:hAnsi="Times New Roman" w:cs="Times New Roman"/>
                <w:sz w:val="24"/>
                <w:szCs w:val="24"/>
                <w:lang w:val="en"/>
              </w:rPr>
              <w:t xml:space="preserve"> „Erasmus+</w:t>
            </w:r>
            <w:proofErr w:type="gramStart"/>
            <w:r w:rsidRPr="00686ECC">
              <w:rPr>
                <w:rStyle w:val="Hyperlink"/>
                <w:rFonts w:ascii="Times New Roman" w:eastAsia="Times New Roman" w:hAnsi="Times New Roman" w:cs="Times New Roman"/>
                <w:sz w:val="24"/>
                <w:szCs w:val="24"/>
                <w:lang w:val="en"/>
              </w:rPr>
              <w:t xml:space="preserve">“ </w:t>
            </w:r>
            <w:proofErr w:type="spellStart"/>
            <w:r w:rsidRPr="00686ECC">
              <w:rPr>
                <w:rStyle w:val="Hyperlink"/>
                <w:rFonts w:ascii="Times New Roman" w:eastAsia="Times New Roman" w:hAnsi="Times New Roman" w:cs="Times New Roman"/>
                <w:sz w:val="24"/>
                <w:szCs w:val="24"/>
                <w:lang w:val="en"/>
              </w:rPr>
              <w:t>mobilumo</w:t>
            </w:r>
            <w:proofErr w:type="spellEnd"/>
            <w:proofErr w:type="gramEnd"/>
            <w:r w:rsidRPr="00686ECC">
              <w:rPr>
                <w:rStyle w:val="Hyperlink"/>
                <w:rFonts w:ascii="Times New Roman" w:eastAsia="Times New Roman" w:hAnsi="Times New Roman" w:cs="Times New Roman"/>
                <w:sz w:val="24"/>
                <w:szCs w:val="24"/>
                <w:lang w:val="en"/>
              </w:rPr>
              <w:t xml:space="preserve"> </w:t>
            </w:r>
            <w:proofErr w:type="spellStart"/>
            <w:r w:rsidRPr="00686ECC">
              <w:rPr>
                <w:rStyle w:val="Hyperlink"/>
                <w:rFonts w:ascii="Times New Roman" w:eastAsia="Times New Roman" w:hAnsi="Times New Roman" w:cs="Times New Roman"/>
                <w:sz w:val="24"/>
                <w:szCs w:val="24"/>
                <w:lang w:val="en"/>
              </w:rPr>
              <w:t>projektus</w:t>
            </w:r>
            <w:proofErr w:type="spellEnd"/>
            <w:r w:rsidRPr="00686ECC">
              <w:rPr>
                <w:rStyle w:val="Hyperlink"/>
                <w:rFonts w:ascii="Times New Roman" w:eastAsia="Times New Roman" w:hAnsi="Times New Roman" w:cs="Times New Roman"/>
                <w:sz w:val="24"/>
                <w:szCs w:val="24"/>
                <w:lang w:val="en"/>
              </w:rPr>
              <w:t xml:space="preserve"> </w:t>
            </w:r>
            <w:proofErr w:type="spellStart"/>
            <w:r w:rsidRPr="00686ECC">
              <w:rPr>
                <w:rStyle w:val="Hyperlink"/>
                <w:rFonts w:ascii="Times New Roman" w:eastAsia="Times New Roman" w:hAnsi="Times New Roman" w:cs="Times New Roman"/>
                <w:sz w:val="24"/>
                <w:szCs w:val="24"/>
                <w:lang w:val="en"/>
              </w:rPr>
              <w:t>įgyvendinančioms</w:t>
            </w:r>
            <w:proofErr w:type="spellEnd"/>
            <w:r w:rsidRPr="00686ECC">
              <w:rPr>
                <w:rStyle w:val="Hyperlink"/>
                <w:rFonts w:ascii="Times New Roman" w:eastAsia="Times New Roman" w:hAnsi="Times New Roman" w:cs="Times New Roman"/>
                <w:sz w:val="24"/>
                <w:szCs w:val="24"/>
                <w:lang w:val="en"/>
              </w:rPr>
              <w:t xml:space="preserve"> </w:t>
            </w:r>
            <w:proofErr w:type="spellStart"/>
            <w:r w:rsidRPr="00686ECC">
              <w:rPr>
                <w:rStyle w:val="Hyperlink"/>
                <w:rFonts w:ascii="Times New Roman" w:eastAsia="Times New Roman" w:hAnsi="Times New Roman" w:cs="Times New Roman"/>
                <w:sz w:val="24"/>
                <w:szCs w:val="24"/>
                <w:lang w:val="en"/>
              </w:rPr>
              <w:t>organizacijoms</w:t>
            </w:r>
            <w:proofErr w:type="spellEnd"/>
            <w:r w:rsidRPr="00686ECC">
              <w:rPr>
                <w:rStyle w:val="Hyperlink"/>
                <w:rFonts w:ascii="Times New Roman" w:eastAsia="Times New Roman" w:hAnsi="Times New Roman" w:cs="Times New Roman"/>
                <w:sz w:val="24"/>
                <w:szCs w:val="24"/>
                <w:lang w:val="en"/>
              </w:rPr>
              <w:t xml:space="preserve"> </w:t>
            </w:r>
            <w:proofErr w:type="spellStart"/>
            <w:r w:rsidRPr="00686ECC">
              <w:rPr>
                <w:rStyle w:val="Hyperlink"/>
                <w:rFonts w:ascii="Times New Roman" w:eastAsia="Times New Roman" w:hAnsi="Times New Roman" w:cs="Times New Roman"/>
                <w:sz w:val="24"/>
                <w:szCs w:val="24"/>
                <w:lang w:val="en"/>
              </w:rPr>
              <w:t>pokarantininiu</w:t>
            </w:r>
            <w:proofErr w:type="spellEnd"/>
            <w:r w:rsidRPr="00686ECC">
              <w:rPr>
                <w:rStyle w:val="Hyperlink"/>
                <w:rFonts w:ascii="Times New Roman" w:eastAsia="Times New Roman" w:hAnsi="Times New Roman" w:cs="Times New Roman"/>
                <w:sz w:val="24"/>
                <w:szCs w:val="24"/>
                <w:lang w:val="en"/>
              </w:rPr>
              <w:t xml:space="preserve"> </w:t>
            </w:r>
            <w:proofErr w:type="spellStart"/>
            <w:r w:rsidRPr="00686ECC">
              <w:rPr>
                <w:rStyle w:val="Hyperlink"/>
                <w:rFonts w:ascii="Times New Roman" w:eastAsia="Times New Roman" w:hAnsi="Times New Roman" w:cs="Times New Roman"/>
                <w:sz w:val="24"/>
                <w:szCs w:val="24"/>
                <w:lang w:val="en"/>
              </w:rPr>
              <w:t>laikotarpiu</w:t>
            </w:r>
            <w:proofErr w:type="spellEnd"/>
            <w:r w:rsidR="00686ECC">
              <w:rPr>
                <w:rFonts w:ascii="Times New Roman" w:eastAsia="Times New Roman" w:hAnsi="Times New Roman" w:cs="Times New Roman"/>
                <w:color w:val="181717"/>
                <w:sz w:val="24"/>
                <w:szCs w:val="24"/>
                <w:lang w:val="en"/>
              </w:rPr>
              <w:fldChar w:fldCharType="end"/>
            </w:r>
            <w:bookmarkStart w:id="0" w:name="_GoBack"/>
            <w:bookmarkEnd w:id="0"/>
            <w:r w:rsidRPr="00FB49AD">
              <w:rPr>
                <w:rFonts w:ascii="Times New Roman" w:eastAsia="Times New Roman" w:hAnsi="Times New Roman" w:cs="Times New Roman"/>
                <w:color w:val="181717"/>
                <w:sz w:val="24"/>
                <w:szCs w:val="24"/>
                <w:lang w:val="en"/>
              </w:rPr>
              <w:t>“ (</w:t>
            </w:r>
            <w:proofErr w:type="spellStart"/>
            <w:r w:rsidRPr="00FB49AD">
              <w:rPr>
                <w:rFonts w:ascii="Times New Roman" w:eastAsia="Times New Roman" w:hAnsi="Times New Roman" w:cs="Times New Roman"/>
                <w:color w:val="181717"/>
                <w:sz w:val="24"/>
                <w:szCs w:val="24"/>
                <w:lang w:val="en"/>
              </w:rPr>
              <w:t>taikoma</w:t>
            </w:r>
            <w:proofErr w:type="spellEnd"/>
            <w:r w:rsidRPr="00FB49AD">
              <w:rPr>
                <w:rFonts w:ascii="Times New Roman" w:eastAsia="Times New Roman" w:hAnsi="Times New Roman" w:cs="Times New Roman"/>
                <w:color w:val="181717"/>
                <w:sz w:val="24"/>
                <w:szCs w:val="24"/>
                <w:lang w:val="en"/>
              </w:rPr>
              <w:t xml:space="preserve"> </w:t>
            </w:r>
            <w:proofErr w:type="spellStart"/>
            <w:r w:rsidRPr="00FB49AD">
              <w:rPr>
                <w:rFonts w:ascii="Times New Roman" w:eastAsia="Times New Roman" w:hAnsi="Times New Roman" w:cs="Times New Roman"/>
                <w:color w:val="181717"/>
                <w:sz w:val="24"/>
                <w:szCs w:val="24"/>
                <w:lang w:val="en"/>
              </w:rPr>
              <w:t>bendrojo</w:t>
            </w:r>
            <w:proofErr w:type="spellEnd"/>
            <w:r w:rsidRPr="00FB49AD">
              <w:rPr>
                <w:rFonts w:ascii="Times New Roman" w:eastAsia="Times New Roman" w:hAnsi="Times New Roman" w:cs="Times New Roman"/>
                <w:color w:val="181717"/>
                <w:sz w:val="24"/>
                <w:szCs w:val="24"/>
                <w:lang w:val="en"/>
              </w:rPr>
              <w:t xml:space="preserve"> </w:t>
            </w:r>
            <w:proofErr w:type="spellStart"/>
            <w:r w:rsidRPr="00FB49AD">
              <w:rPr>
                <w:rFonts w:ascii="Times New Roman" w:eastAsia="Times New Roman" w:hAnsi="Times New Roman" w:cs="Times New Roman"/>
                <w:color w:val="181717"/>
                <w:sz w:val="24"/>
                <w:szCs w:val="24"/>
                <w:lang w:val="en"/>
              </w:rPr>
              <w:t>ugdymo</w:t>
            </w:r>
            <w:proofErr w:type="spellEnd"/>
            <w:r w:rsidRPr="00FB49AD">
              <w:rPr>
                <w:rFonts w:ascii="Times New Roman" w:eastAsia="Times New Roman" w:hAnsi="Times New Roman" w:cs="Times New Roman"/>
                <w:color w:val="181717"/>
                <w:sz w:val="24"/>
                <w:szCs w:val="24"/>
                <w:lang w:val="en"/>
              </w:rPr>
              <w:t xml:space="preserve">, </w:t>
            </w:r>
            <w:proofErr w:type="spellStart"/>
            <w:r w:rsidRPr="00FB49AD">
              <w:rPr>
                <w:rFonts w:ascii="Times New Roman" w:eastAsia="Times New Roman" w:hAnsi="Times New Roman" w:cs="Times New Roman"/>
                <w:color w:val="181717"/>
                <w:sz w:val="24"/>
                <w:szCs w:val="24"/>
                <w:lang w:val="en"/>
              </w:rPr>
              <w:t>profesinio</w:t>
            </w:r>
            <w:proofErr w:type="spellEnd"/>
            <w:r w:rsidRPr="00FB49AD">
              <w:rPr>
                <w:rFonts w:ascii="Times New Roman" w:eastAsia="Times New Roman" w:hAnsi="Times New Roman" w:cs="Times New Roman"/>
                <w:color w:val="181717"/>
                <w:sz w:val="24"/>
                <w:szCs w:val="24"/>
                <w:lang w:val="en"/>
              </w:rPr>
              <w:t xml:space="preserve"> </w:t>
            </w:r>
            <w:proofErr w:type="spellStart"/>
            <w:r w:rsidRPr="00FB49AD">
              <w:rPr>
                <w:rFonts w:ascii="Times New Roman" w:eastAsia="Times New Roman" w:hAnsi="Times New Roman" w:cs="Times New Roman"/>
                <w:color w:val="181717"/>
                <w:sz w:val="24"/>
                <w:szCs w:val="24"/>
                <w:lang w:val="en"/>
              </w:rPr>
              <w:t>mokymo</w:t>
            </w:r>
            <w:proofErr w:type="spellEnd"/>
            <w:r w:rsidRPr="00FB49AD">
              <w:rPr>
                <w:rFonts w:ascii="Times New Roman" w:eastAsia="Times New Roman" w:hAnsi="Times New Roman" w:cs="Times New Roman"/>
                <w:color w:val="181717"/>
                <w:sz w:val="24"/>
                <w:szCs w:val="24"/>
                <w:lang w:val="en"/>
              </w:rPr>
              <w:t xml:space="preserve"> </w:t>
            </w:r>
            <w:proofErr w:type="spellStart"/>
            <w:r w:rsidRPr="00FB49AD">
              <w:rPr>
                <w:rFonts w:ascii="Times New Roman" w:eastAsia="Times New Roman" w:hAnsi="Times New Roman" w:cs="Times New Roman"/>
                <w:color w:val="181717"/>
                <w:sz w:val="24"/>
                <w:szCs w:val="24"/>
                <w:lang w:val="en"/>
              </w:rPr>
              <w:t>ir</w:t>
            </w:r>
            <w:proofErr w:type="spellEnd"/>
            <w:r w:rsidRPr="00FB49AD">
              <w:rPr>
                <w:rFonts w:ascii="Times New Roman" w:eastAsia="Times New Roman" w:hAnsi="Times New Roman" w:cs="Times New Roman"/>
                <w:color w:val="181717"/>
                <w:sz w:val="24"/>
                <w:szCs w:val="24"/>
                <w:lang w:val="en"/>
              </w:rPr>
              <w:t xml:space="preserve"> </w:t>
            </w:r>
            <w:proofErr w:type="spellStart"/>
            <w:r w:rsidRPr="00FB49AD">
              <w:rPr>
                <w:rFonts w:ascii="Times New Roman" w:eastAsia="Times New Roman" w:hAnsi="Times New Roman" w:cs="Times New Roman"/>
                <w:color w:val="181717"/>
                <w:sz w:val="24"/>
                <w:szCs w:val="24"/>
                <w:lang w:val="en"/>
              </w:rPr>
              <w:t>suaugusiųjų</w:t>
            </w:r>
            <w:proofErr w:type="spellEnd"/>
            <w:r w:rsidRPr="00FB49AD">
              <w:rPr>
                <w:rFonts w:ascii="Times New Roman" w:eastAsia="Times New Roman" w:hAnsi="Times New Roman" w:cs="Times New Roman"/>
                <w:color w:val="181717"/>
                <w:sz w:val="24"/>
                <w:szCs w:val="24"/>
                <w:lang w:val="en"/>
              </w:rPr>
              <w:t xml:space="preserve"> </w:t>
            </w:r>
            <w:proofErr w:type="spellStart"/>
            <w:r w:rsidRPr="00FB49AD">
              <w:rPr>
                <w:rFonts w:ascii="Times New Roman" w:eastAsia="Times New Roman" w:hAnsi="Times New Roman" w:cs="Times New Roman"/>
                <w:color w:val="181717"/>
                <w:sz w:val="24"/>
                <w:szCs w:val="24"/>
                <w:lang w:val="en"/>
              </w:rPr>
              <w:t>švietimo</w:t>
            </w:r>
            <w:proofErr w:type="spellEnd"/>
            <w:r w:rsidRPr="00FB49AD">
              <w:rPr>
                <w:rFonts w:ascii="Times New Roman" w:eastAsia="Times New Roman" w:hAnsi="Times New Roman" w:cs="Times New Roman"/>
                <w:color w:val="181717"/>
                <w:sz w:val="24"/>
                <w:szCs w:val="24"/>
                <w:lang w:val="en"/>
              </w:rPr>
              <w:t xml:space="preserve"> </w:t>
            </w:r>
            <w:proofErr w:type="spellStart"/>
            <w:r w:rsidRPr="00FB49AD">
              <w:rPr>
                <w:rFonts w:ascii="Times New Roman" w:eastAsia="Times New Roman" w:hAnsi="Times New Roman" w:cs="Times New Roman"/>
                <w:color w:val="181717"/>
                <w:sz w:val="24"/>
                <w:szCs w:val="24"/>
                <w:lang w:val="en"/>
              </w:rPr>
              <w:t>sričiai</w:t>
            </w:r>
            <w:proofErr w:type="spellEnd"/>
            <w:r w:rsidRPr="00FB49AD">
              <w:rPr>
                <w:rFonts w:ascii="Times New Roman" w:eastAsia="Times New Roman" w:hAnsi="Times New Roman" w:cs="Times New Roman"/>
                <w:color w:val="181717"/>
                <w:sz w:val="24"/>
                <w:szCs w:val="24"/>
                <w:lang w:val="en"/>
              </w:rPr>
              <w:t>).</w:t>
            </w:r>
          </w:p>
        </w:tc>
      </w:tr>
      <w:tr w:rsidR="003E5723" w:rsidRPr="00E0700C" w14:paraId="23265E70" w14:textId="77777777" w:rsidTr="000E1202">
        <w:tc>
          <w:tcPr>
            <w:tcW w:w="2842" w:type="dxa"/>
            <w:tcBorders>
              <w:bottom w:val="single" w:sz="4" w:space="0" w:color="auto"/>
            </w:tcBorders>
          </w:tcPr>
          <w:p w14:paraId="6C0ABDDC" w14:textId="77777777" w:rsidR="003E5723" w:rsidRDefault="003E5723" w:rsidP="003E5723">
            <w:pPr>
              <w:pStyle w:val="ListParagraph"/>
              <w:numPr>
                <w:ilvl w:val="0"/>
                <w:numId w:val="11"/>
              </w:numPr>
              <w:tabs>
                <w:tab w:val="left" w:pos="313"/>
              </w:tabs>
              <w:ind w:left="0" w:firstLine="0"/>
              <w:rPr>
                <w:rFonts w:ascii="Times New Roman" w:hAnsi="Times New Roman" w:cs="Times New Roman"/>
                <w:color w:val="000000" w:themeColor="text1"/>
                <w:sz w:val="24"/>
                <w:szCs w:val="24"/>
              </w:rPr>
            </w:pPr>
            <w:r w:rsidRPr="00E0700C">
              <w:rPr>
                <w:rFonts w:ascii="Times New Roman" w:hAnsi="Times New Roman" w:cs="Times New Roman"/>
                <w:color w:val="000000" w:themeColor="text1"/>
                <w:sz w:val="24"/>
                <w:szCs w:val="24"/>
              </w:rPr>
              <w:t>Aktualios nuorodos</w:t>
            </w:r>
          </w:p>
          <w:p w14:paraId="1DFD4166" w14:textId="4FDF946E" w:rsidR="003E5723" w:rsidRPr="00E0700C" w:rsidRDefault="003E5723" w:rsidP="003E5723">
            <w:pPr>
              <w:pStyle w:val="ListParagraph"/>
              <w:tabs>
                <w:tab w:val="left" w:pos="313"/>
              </w:tabs>
              <w:ind w:left="0"/>
              <w:rPr>
                <w:rFonts w:ascii="Times New Roman" w:hAnsi="Times New Roman" w:cs="Times New Roman"/>
                <w:sz w:val="24"/>
                <w:szCs w:val="24"/>
              </w:rPr>
            </w:pPr>
          </w:p>
        </w:tc>
        <w:tc>
          <w:tcPr>
            <w:tcW w:w="6786" w:type="dxa"/>
            <w:tcBorders>
              <w:bottom w:val="single" w:sz="4" w:space="0" w:color="auto"/>
            </w:tcBorders>
          </w:tcPr>
          <w:p w14:paraId="0E72E9A7" w14:textId="77777777" w:rsidR="003E5723" w:rsidRPr="00E0700C" w:rsidRDefault="003E5723" w:rsidP="003E5723">
            <w:pPr>
              <w:spacing w:after="120"/>
              <w:rPr>
                <w:rFonts w:ascii="Times New Roman" w:hAnsi="Times New Roman" w:cs="Times New Roman"/>
                <w:color w:val="000000" w:themeColor="text1"/>
                <w:sz w:val="24"/>
                <w:szCs w:val="24"/>
              </w:rPr>
            </w:pPr>
            <w:r w:rsidRPr="00E0700C">
              <w:rPr>
                <w:rFonts w:ascii="Times New Roman" w:hAnsi="Times New Roman" w:cs="Times New Roman"/>
                <w:color w:val="000000" w:themeColor="text1"/>
                <w:sz w:val="24"/>
                <w:szCs w:val="24"/>
              </w:rPr>
              <w:t>Aktualią informaciją dėl viruso plitimo galima rasti:</w:t>
            </w:r>
          </w:p>
          <w:p w14:paraId="697A74B9" w14:textId="77777777" w:rsidR="003E5723" w:rsidRDefault="00F4460A" w:rsidP="003E5723">
            <w:pPr>
              <w:pStyle w:val="ListParagraph"/>
              <w:numPr>
                <w:ilvl w:val="0"/>
                <w:numId w:val="7"/>
              </w:numPr>
              <w:ind w:left="238" w:hanging="238"/>
              <w:rPr>
                <w:rFonts w:ascii="Times New Roman" w:hAnsi="Times New Roman" w:cs="Times New Roman"/>
                <w:color w:val="000000" w:themeColor="text1"/>
                <w:sz w:val="24"/>
                <w:szCs w:val="24"/>
              </w:rPr>
            </w:pPr>
            <w:hyperlink r:id="rId10" w:history="1">
              <w:r w:rsidR="003E5723">
                <w:rPr>
                  <w:rFonts w:ascii="Times New Roman" w:hAnsi="Times New Roman" w:cs="Times New Roman"/>
                  <w:color w:val="000000" w:themeColor="text1"/>
                  <w:sz w:val="24"/>
                  <w:szCs w:val="24"/>
                </w:rPr>
                <w:t>I</w:t>
              </w:r>
              <w:r w:rsidR="003E5723" w:rsidRPr="00E0700C">
                <w:rPr>
                  <w:rFonts w:ascii="Times New Roman" w:hAnsi="Times New Roman" w:cs="Times New Roman"/>
                  <w:color w:val="000000" w:themeColor="text1"/>
                  <w:sz w:val="24"/>
                  <w:szCs w:val="24"/>
                </w:rPr>
                <w:t>nteraktyvus žemėlapis</w:t>
              </w:r>
            </w:hyperlink>
            <w:r w:rsidR="003E5723">
              <w:rPr>
                <w:rFonts w:ascii="Times New Roman" w:hAnsi="Times New Roman" w:cs="Times New Roman"/>
                <w:color w:val="000000" w:themeColor="text1"/>
                <w:sz w:val="24"/>
                <w:szCs w:val="24"/>
              </w:rPr>
              <w:t xml:space="preserve">, </w:t>
            </w:r>
            <w:r w:rsidR="003E5723" w:rsidRPr="00E0700C">
              <w:rPr>
                <w:rFonts w:ascii="Times New Roman" w:hAnsi="Times New Roman" w:cs="Times New Roman"/>
                <w:color w:val="000000" w:themeColor="text1"/>
                <w:sz w:val="24"/>
                <w:szCs w:val="24"/>
              </w:rPr>
              <w:t>kuriame galite rasti pagal oficialius valstybių šaltinius parengtą susistemintą informaciją apie kelionių ir kitus apribojimus įvairiose šalyse</w:t>
            </w:r>
            <w:r w:rsidR="003E5723">
              <w:rPr>
                <w:rFonts w:ascii="Times New Roman" w:hAnsi="Times New Roman" w:cs="Times New Roman"/>
                <w:color w:val="000000" w:themeColor="text1"/>
                <w:sz w:val="24"/>
                <w:szCs w:val="24"/>
              </w:rPr>
              <w:t xml:space="preserve"> (</w:t>
            </w:r>
            <w:r w:rsidR="003E5723" w:rsidRPr="00E0700C">
              <w:rPr>
                <w:rFonts w:ascii="Times New Roman" w:hAnsi="Times New Roman" w:cs="Times New Roman"/>
                <w:color w:val="000000" w:themeColor="text1"/>
                <w:sz w:val="24"/>
                <w:szCs w:val="24"/>
              </w:rPr>
              <w:t>rekomenduojame atsidaryti per „Chrome“ arba „Firefox“ naršyklę)</w:t>
            </w:r>
            <w:r w:rsidR="003E5723">
              <w:rPr>
                <w:rFonts w:ascii="Times New Roman" w:hAnsi="Times New Roman" w:cs="Times New Roman"/>
                <w:color w:val="000000" w:themeColor="text1"/>
                <w:sz w:val="24"/>
                <w:szCs w:val="24"/>
              </w:rPr>
              <w:t xml:space="preserve"> </w:t>
            </w:r>
            <w:hyperlink r:id="rId11" w:history="1">
              <w:r w:rsidR="003E5723" w:rsidRPr="00AB1343">
                <w:rPr>
                  <w:rStyle w:val="Hyperlink"/>
                  <w:rFonts w:ascii="Times New Roman" w:hAnsi="Times New Roman" w:cs="Times New Roman"/>
                  <w:sz w:val="24"/>
                  <w:szCs w:val="24"/>
                </w:rPr>
                <w:t>https://reopen.europa.eu/en</w:t>
              </w:r>
            </w:hyperlink>
            <w:r w:rsidR="003E5723">
              <w:rPr>
                <w:rFonts w:ascii="Times New Roman" w:hAnsi="Times New Roman" w:cs="Times New Roman"/>
                <w:color w:val="000000" w:themeColor="text1"/>
                <w:sz w:val="24"/>
                <w:szCs w:val="24"/>
              </w:rPr>
              <w:t xml:space="preserve">; </w:t>
            </w:r>
          </w:p>
          <w:p w14:paraId="19DCBADF" w14:textId="77777777" w:rsidR="003E5723" w:rsidRPr="00E0700C" w:rsidRDefault="003E5723" w:rsidP="003E5723">
            <w:pPr>
              <w:pStyle w:val="ListParagraph"/>
              <w:numPr>
                <w:ilvl w:val="0"/>
                <w:numId w:val="7"/>
              </w:numPr>
              <w:ind w:left="238" w:hanging="238"/>
              <w:rPr>
                <w:rFonts w:ascii="Times New Roman" w:hAnsi="Times New Roman" w:cs="Times New Roman"/>
                <w:color w:val="000000" w:themeColor="text1"/>
                <w:sz w:val="24"/>
                <w:szCs w:val="24"/>
              </w:rPr>
            </w:pPr>
            <w:r w:rsidRPr="00E0700C">
              <w:rPr>
                <w:rFonts w:ascii="Times New Roman" w:hAnsi="Times New Roman" w:cs="Times New Roman"/>
                <w:color w:val="000000" w:themeColor="text1"/>
                <w:sz w:val="24"/>
                <w:szCs w:val="24"/>
              </w:rPr>
              <w:t>URM konsulinės informacijos puslapyje</w:t>
            </w:r>
            <w:r w:rsidRPr="00E0700C">
              <w:rPr>
                <w:rFonts w:ascii="Times New Roman" w:hAnsi="Times New Roman" w:cs="Times New Roman"/>
                <w:sz w:val="24"/>
                <w:szCs w:val="24"/>
              </w:rPr>
              <w:t xml:space="preserve"> </w:t>
            </w:r>
            <w:hyperlink r:id="rId12" w:history="1">
              <w:r w:rsidRPr="00E0700C">
                <w:rPr>
                  <w:rStyle w:val="Hyperlink"/>
                  <w:rFonts w:ascii="Times New Roman" w:hAnsi="Times New Roman" w:cs="Times New Roman"/>
                  <w:sz w:val="24"/>
                  <w:szCs w:val="24"/>
                </w:rPr>
                <w:t>https://keliauk.urm.lt/</w:t>
              </w:r>
            </w:hyperlink>
            <w:r w:rsidRPr="00E0700C">
              <w:rPr>
                <w:rStyle w:val="Hyperlink"/>
                <w:rFonts w:ascii="Times New Roman" w:hAnsi="Times New Roman" w:cs="Times New Roman"/>
                <w:sz w:val="24"/>
                <w:szCs w:val="24"/>
              </w:rPr>
              <w:t>;</w:t>
            </w:r>
            <w:r w:rsidRPr="00E0700C">
              <w:rPr>
                <w:rFonts w:ascii="Times New Roman" w:hAnsi="Times New Roman" w:cs="Times New Roman"/>
                <w:color w:val="000000" w:themeColor="text1"/>
                <w:sz w:val="24"/>
                <w:szCs w:val="24"/>
              </w:rPr>
              <w:t xml:space="preserve"> </w:t>
            </w:r>
          </w:p>
          <w:p w14:paraId="43F9B270" w14:textId="77777777" w:rsidR="003E5723" w:rsidRPr="00E0700C" w:rsidRDefault="003E5723" w:rsidP="003E5723">
            <w:pPr>
              <w:pStyle w:val="ListParagraph"/>
              <w:numPr>
                <w:ilvl w:val="0"/>
                <w:numId w:val="7"/>
              </w:numPr>
              <w:ind w:left="238" w:hanging="238"/>
              <w:rPr>
                <w:rFonts w:ascii="Times New Roman" w:hAnsi="Times New Roman" w:cs="Times New Roman"/>
                <w:color w:val="000000" w:themeColor="text1"/>
                <w:sz w:val="24"/>
                <w:szCs w:val="24"/>
              </w:rPr>
            </w:pPr>
            <w:r w:rsidRPr="00E0700C">
              <w:rPr>
                <w:rFonts w:ascii="Times New Roman" w:hAnsi="Times New Roman" w:cs="Times New Roman"/>
                <w:color w:val="000000" w:themeColor="text1"/>
                <w:sz w:val="24"/>
                <w:szCs w:val="24"/>
              </w:rPr>
              <w:t xml:space="preserve">Europos Sąjungos keleivių teisės </w:t>
            </w:r>
            <w:hyperlink r:id="rId13" w:history="1">
              <w:r w:rsidRPr="00E0700C">
                <w:rPr>
                  <w:rStyle w:val="Hyperlink"/>
                  <w:rFonts w:ascii="Times New Roman" w:hAnsi="Times New Roman" w:cs="Times New Roman"/>
                  <w:sz w:val="24"/>
                  <w:szCs w:val="24"/>
                </w:rPr>
                <w:t>https://ec.europa.eu/commission/presscorner/detail/en/ip_20_485</w:t>
              </w:r>
            </w:hyperlink>
            <w:r w:rsidRPr="00E0700C">
              <w:rPr>
                <w:rFonts w:ascii="Times New Roman" w:hAnsi="Times New Roman" w:cs="Times New Roman"/>
                <w:color w:val="000000" w:themeColor="text1"/>
                <w:sz w:val="24"/>
                <w:szCs w:val="24"/>
              </w:rPr>
              <w:t>;</w:t>
            </w:r>
          </w:p>
          <w:p w14:paraId="5D3F39B8" w14:textId="77777777" w:rsidR="003E5723" w:rsidRPr="00E0700C" w:rsidRDefault="003E5723" w:rsidP="003E5723">
            <w:pPr>
              <w:pStyle w:val="ListParagraph"/>
              <w:numPr>
                <w:ilvl w:val="0"/>
                <w:numId w:val="7"/>
              </w:numPr>
              <w:ind w:left="238" w:hanging="238"/>
              <w:rPr>
                <w:rFonts w:ascii="Times New Roman" w:hAnsi="Times New Roman" w:cs="Times New Roman"/>
                <w:color w:val="000000" w:themeColor="text1"/>
                <w:sz w:val="24"/>
                <w:szCs w:val="24"/>
              </w:rPr>
            </w:pPr>
            <w:r w:rsidRPr="00E0700C">
              <w:rPr>
                <w:rFonts w:ascii="Times New Roman" w:hAnsi="Times New Roman" w:cs="Times New Roman"/>
                <w:color w:val="000000" w:themeColor="text1"/>
                <w:sz w:val="24"/>
                <w:szCs w:val="24"/>
              </w:rPr>
              <w:t xml:space="preserve">Europos ligų prevencijos ir kontrolės centro interneto puslapyje </w:t>
            </w:r>
            <w:hyperlink r:id="rId14" w:history="1">
              <w:r w:rsidRPr="00E0700C">
                <w:rPr>
                  <w:rStyle w:val="Hyperlink"/>
                  <w:rFonts w:ascii="Times New Roman" w:hAnsi="Times New Roman" w:cs="Times New Roman"/>
                  <w:sz w:val="24"/>
                  <w:szCs w:val="24"/>
                </w:rPr>
                <w:t>https://www.ecdc.europa.eu/en/geographical-distribution-2019-ncov-cases</w:t>
              </w:r>
            </w:hyperlink>
            <w:r w:rsidRPr="00E0700C">
              <w:rPr>
                <w:rStyle w:val="Hyperlink"/>
                <w:rFonts w:ascii="Times New Roman" w:hAnsi="Times New Roman" w:cs="Times New Roman"/>
                <w:sz w:val="24"/>
                <w:szCs w:val="24"/>
              </w:rPr>
              <w:t>;</w:t>
            </w:r>
          </w:p>
          <w:p w14:paraId="5D96292D" w14:textId="77777777" w:rsidR="003E5723" w:rsidRPr="00240810" w:rsidRDefault="003E5723" w:rsidP="003E5723">
            <w:pPr>
              <w:pStyle w:val="ListParagraph"/>
              <w:numPr>
                <w:ilvl w:val="0"/>
                <w:numId w:val="7"/>
              </w:numPr>
              <w:ind w:left="238" w:hanging="238"/>
              <w:rPr>
                <w:rFonts w:ascii="Times New Roman" w:hAnsi="Times New Roman" w:cs="Times New Roman"/>
                <w:color w:val="0563C1" w:themeColor="hyperlink"/>
                <w:sz w:val="24"/>
                <w:szCs w:val="24"/>
                <w:u w:val="single"/>
              </w:rPr>
            </w:pPr>
            <w:r w:rsidRPr="00240810">
              <w:rPr>
                <w:rFonts w:ascii="Times New Roman" w:hAnsi="Times New Roman" w:cs="Times New Roman"/>
                <w:color w:val="000000" w:themeColor="text1"/>
                <w:sz w:val="24"/>
                <w:szCs w:val="24"/>
              </w:rPr>
              <w:t>Europos</w:t>
            </w:r>
            <w:r w:rsidRPr="00E0700C">
              <w:rPr>
                <w:rFonts w:ascii="Times New Roman" w:hAnsi="Times New Roman" w:cs="Times New Roman"/>
                <w:sz w:val="24"/>
                <w:szCs w:val="24"/>
              </w:rPr>
              <w:t xml:space="preserve"> Komisijos informacija interneto puslap</w:t>
            </w:r>
            <w:r>
              <w:rPr>
                <w:rFonts w:ascii="Times New Roman" w:hAnsi="Times New Roman" w:cs="Times New Roman"/>
                <w:sz w:val="24"/>
                <w:szCs w:val="24"/>
              </w:rPr>
              <w:t>iuose:</w:t>
            </w:r>
            <w:r w:rsidRPr="00E0700C">
              <w:rPr>
                <w:rFonts w:ascii="Times New Roman" w:hAnsi="Times New Roman" w:cs="Times New Roman"/>
                <w:sz w:val="24"/>
                <w:szCs w:val="24"/>
              </w:rPr>
              <w:t xml:space="preserve"> </w:t>
            </w:r>
          </w:p>
          <w:p w14:paraId="64B67B50" w14:textId="77777777" w:rsidR="003E5723" w:rsidRPr="00E0700C" w:rsidRDefault="00F4460A" w:rsidP="003E5723">
            <w:pPr>
              <w:pStyle w:val="ListParagraph"/>
              <w:ind w:left="238"/>
              <w:rPr>
                <w:rStyle w:val="Hyperlink"/>
                <w:rFonts w:ascii="Times New Roman" w:hAnsi="Times New Roman" w:cs="Times New Roman"/>
                <w:sz w:val="24"/>
                <w:szCs w:val="24"/>
              </w:rPr>
            </w:pPr>
            <w:hyperlink r:id="rId15" w:history="1">
              <w:r w:rsidR="003E5723" w:rsidRPr="001370C1">
                <w:rPr>
                  <w:rStyle w:val="Hyperlink"/>
                  <w:rFonts w:ascii="Times New Roman" w:hAnsi="Times New Roman" w:cs="Times New Roman"/>
                  <w:sz w:val="24"/>
                  <w:szCs w:val="24"/>
                </w:rPr>
                <w:t>https://ec.europa.eu/health/coronavirus_en</w:t>
              </w:r>
            </w:hyperlink>
            <w:r w:rsidR="003E5723">
              <w:rPr>
                <w:rStyle w:val="Hyperlink"/>
                <w:rFonts w:ascii="Times New Roman" w:hAnsi="Times New Roman" w:cs="Times New Roman"/>
                <w:sz w:val="24"/>
                <w:szCs w:val="24"/>
              </w:rPr>
              <w:t>;</w:t>
            </w:r>
          </w:p>
          <w:p w14:paraId="17C2B1A9" w14:textId="47A58F58" w:rsidR="003E5723" w:rsidRPr="00E0700C" w:rsidRDefault="00F4460A" w:rsidP="003E5723">
            <w:pPr>
              <w:tabs>
                <w:tab w:val="left" w:pos="318"/>
              </w:tabs>
              <w:spacing w:after="120"/>
              <w:jc w:val="both"/>
              <w:rPr>
                <w:rFonts w:ascii="Times New Roman" w:hAnsi="Times New Roman" w:cs="Times New Roman"/>
                <w:color w:val="000000" w:themeColor="text1"/>
                <w:sz w:val="24"/>
                <w:szCs w:val="24"/>
              </w:rPr>
            </w:pPr>
            <w:hyperlink r:id="rId16" w:history="1">
              <w:r w:rsidR="003E5723" w:rsidRPr="001370C1">
                <w:rPr>
                  <w:rStyle w:val="Hyperlink"/>
                  <w:rFonts w:ascii="Times New Roman" w:hAnsi="Times New Roman" w:cs="Times New Roman"/>
                  <w:sz w:val="24"/>
                  <w:szCs w:val="24"/>
                </w:rPr>
                <w:t>https://ec.europa.eu/programmes/erasmus-plus/news/corona-virus-consequences-erasmus-and-european-solidarity-corps-mobility-activities_en</w:t>
              </w:r>
            </w:hyperlink>
            <w:r w:rsidR="003E5723">
              <w:rPr>
                <w:rStyle w:val="Hyperlink"/>
                <w:rFonts w:ascii="Times New Roman" w:hAnsi="Times New Roman" w:cs="Times New Roman"/>
                <w:sz w:val="24"/>
                <w:szCs w:val="24"/>
              </w:rPr>
              <w:t>.</w:t>
            </w:r>
          </w:p>
        </w:tc>
      </w:tr>
      <w:tr w:rsidR="003E5723" w:rsidRPr="00E0700C" w14:paraId="0C4B3DD1" w14:textId="77777777" w:rsidTr="000E1202">
        <w:tc>
          <w:tcPr>
            <w:tcW w:w="2842" w:type="dxa"/>
            <w:tcBorders>
              <w:top w:val="single" w:sz="4" w:space="0" w:color="auto"/>
              <w:left w:val="nil"/>
              <w:bottom w:val="nil"/>
              <w:right w:val="nil"/>
            </w:tcBorders>
          </w:tcPr>
          <w:p w14:paraId="5DF9CAA9" w14:textId="77777777" w:rsidR="003E5723" w:rsidRPr="00E0700C" w:rsidRDefault="003E5723" w:rsidP="003E5723">
            <w:pPr>
              <w:pStyle w:val="ListParagraph"/>
              <w:tabs>
                <w:tab w:val="left" w:pos="313"/>
              </w:tabs>
              <w:ind w:left="0"/>
              <w:rPr>
                <w:rFonts w:ascii="Times New Roman" w:hAnsi="Times New Roman" w:cs="Times New Roman"/>
                <w:color w:val="000000" w:themeColor="text1"/>
                <w:sz w:val="24"/>
                <w:szCs w:val="24"/>
              </w:rPr>
            </w:pPr>
          </w:p>
        </w:tc>
        <w:tc>
          <w:tcPr>
            <w:tcW w:w="6786" w:type="dxa"/>
            <w:tcBorders>
              <w:top w:val="single" w:sz="4" w:space="0" w:color="auto"/>
              <w:left w:val="nil"/>
              <w:bottom w:val="nil"/>
              <w:right w:val="nil"/>
            </w:tcBorders>
          </w:tcPr>
          <w:p w14:paraId="52E091EE" w14:textId="77777777" w:rsidR="003E5723" w:rsidRPr="00E0700C" w:rsidRDefault="003E5723" w:rsidP="003E5723">
            <w:pPr>
              <w:spacing w:after="120"/>
              <w:rPr>
                <w:rFonts w:ascii="Times New Roman" w:hAnsi="Times New Roman" w:cs="Times New Roman"/>
                <w:color w:val="000000" w:themeColor="text1"/>
                <w:sz w:val="24"/>
                <w:szCs w:val="24"/>
              </w:rPr>
            </w:pPr>
          </w:p>
        </w:tc>
      </w:tr>
      <w:tr w:rsidR="003E5723" w:rsidRPr="00E0700C" w14:paraId="4138CAAA" w14:textId="77777777" w:rsidTr="000E1202">
        <w:tc>
          <w:tcPr>
            <w:tcW w:w="2842" w:type="dxa"/>
            <w:tcBorders>
              <w:top w:val="nil"/>
              <w:left w:val="nil"/>
              <w:bottom w:val="single" w:sz="4" w:space="0" w:color="auto"/>
              <w:right w:val="nil"/>
            </w:tcBorders>
          </w:tcPr>
          <w:p w14:paraId="3768ABF8" w14:textId="77777777" w:rsidR="003E5723" w:rsidRPr="00E0700C" w:rsidRDefault="003E5723" w:rsidP="003E5723">
            <w:pPr>
              <w:pStyle w:val="ListParagraph"/>
              <w:tabs>
                <w:tab w:val="left" w:pos="313"/>
              </w:tabs>
              <w:ind w:left="0"/>
              <w:rPr>
                <w:rFonts w:ascii="Times New Roman" w:hAnsi="Times New Roman" w:cs="Times New Roman"/>
                <w:color w:val="000000" w:themeColor="text1"/>
                <w:sz w:val="24"/>
                <w:szCs w:val="24"/>
              </w:rPr>
            </w:pPr>
          </w:p>
        </w:tc>
        <w:tc>
          <w:tcPr>
            <w:tcW w:w="6786" w:type="dxa"/>
            <w:tcBorders>
              <w:top w:val="nil"/>
              <w:left w:val="nil"/>
              <w:bottom w:val="single" w:sz="4" w:space="0" w:color="auto"/>
              <w:right w:val="nil"/>
            </w:tcBorders>
          </w:tcPr>
          <w:p w14:paraId="459A082F" w14:textId="1507A824" w:rsidR="003E5723" w:rsidRPr="00E0700C" w:rsidRDefault="003E5723" w:rsidP="003E5723">
            <w:pPr>
              <w:spacing w:after="120"/>
              <w:rPr>
                <w:rFonts w:ascii="Times New Roman" w:hAnsi="Times New Roman" w:cs="Times New Roman"/>
                <w:color w:val="000000" w:themeColor="text1"/>
                <w:sz w:val="24"/>
                <w:szCs w:val="24"/>
              </w:rPr>
            </w:pPr>
          </w:p>
        </w:tc>
      </w:tr>
      <w:tr w:rsidR="003E5723" w:rsidRPr="00E0700C" w14:paraId="27DD77E0" w14:textId="77777777" w:rsidTr="00B75732">
        <w:tc>
          <w:tcPr>
            <w:tcW w:w="9628" w:type="dxa"/>
            <w:gridSpan w:val="2"/>
            <w:tcBorders>
              <w:top w:val="single" w:sz="4" w:space="0" w:color="auto"/>
            </w:tcBorders>
          </w:tcPr>
          <w:p w14:paraId="2E9F1460" w14:textId="00D57B5C" w:rsidR="003E5723" w:rsidRPr="00E0700C" w:rsidRDefault="00AD2683" w:rsidP="003E5723">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II. </w:t>
            </w:r>
            <w:r w:rsidR="003E5723">
              <w:rPr>
                <w:rFonts w:ascii="Times New Roman" w:hAnsi="Times New Roman" w:cs="Times New Roman"/>
                <w:color w:val="000000" w:themeColor="text1"/>
                <w:sz w:val="24"/>
                <w:szCs w:val="24"/>
              </w:rPr>
              <w:t>Taikoma tik aukštojo mokslo sektoriui</w:t>
            </w:r>
          </w:p>
        </w:tc>
      </w:tr>
      <w:tr w:rsidR="003E5723" w:rsidRPr="00E0700C" w14:paraId="07E09E5B" w14:textId="77777777" w:rsidTr="000E1202">
        <w:tc>
          <w:tcPr>
            <w:tcW w:w="2842" w:type="dxa"/>
            <w:tcBorders>
              <w:top w:val="single" w:sz="4" w:space="0" w:color="auto"/>
            </w:tcBorders>
          </w:tcPr>
          <w:p w14:paraId="4174176E" w14:textId="72AD25E3" w:rsidR="003E5723" w:rsidRDefault="003E5723" w:rsidP="003E5723">
            <w:pPr>
              <w:pStyle w:val="ListParagraph"/>
              <w:numPr>
                <w:ilvl w:val="0"/>
                <w:numId w:val="18"/>
              </w:numPr>
              <w:tabs>
                <w:tab w:val="left" w:pos="313"/>
              </w:tabs>
              <w:ind w:left="29" w:firstLine="0"/>
              <w:rPr>
                <w:rFonts w:ascii="Times New Roman" w:hAnsi="Times New Roman" w:cs="Times New Roman"/>
                <w:color w:val="000000" w:themeColor="text1"/>
                <w:sz w:val="24"/>
                <w:szCs w:val="24"/>
              </w:rPr>
            </w:pPr>
            <w:r w:rsidRPr="008F291F">
              <w:rPr>
                <w:rFonts w:ascii="Times New Roman" w:hAnsi="Times New Roman" w:cs="Times New Roman"/>
                <w:color w:val="000000" w:themeColor="text1"/>
                <w:sz w:val="24"/>
                <w:szCs w:val="24"/>
              </w:rPr>
              <w:t>Užsienio šalies vyriausybei priėmus sprendimą uždaryti šalies sienas dėl COVID -19, ar turėtumėme nutraukti visų studentų mobilumus, ar visgi leisti studentams priimti sprendimą patiems?</w:t>
            </w:r>
          </w:p>
          <w:p w14:paraId="1DB3BD77" w14:textId="35852208" w:rsidR="003E5723" w:rsidRPr="008F291F" w:rsidRDefault="003E5723" w:rsidP="00362896">
            <w:pPr>
              <w:pStyle w:val="ListParagraph"/>
              <w:tabs>
                <w:tab w:val="left" w:pos="313"/>
              </w:tabs>
              <w:ind w:left="29"/>
              <w:rPr>
                <w:rFonts w:ascii="Times New Roman" w:hAnsi="Times New Roman" w:cs="Times New Roman"/>
                <w:color w:val="000000" w:themeColor="text1"/>
                <w:sz w:val="24"/>
                <w:szCs w:val="24"/>
              </w:rPr>
            </w:pPr>
          </w:p>
        </w:tc>
        <w:tc>
          <w:tcPr>
            <w:tcW w:w="6786" w:type="dxa"/>
            <w:tcBorders>
              <w:top w:val="single" w:sz="4" w:space="0" w:color="auto"/>
            </w:tcBorders>
          </w:tcPr>
          <w:p w14:paraId="1378444B" w14:textId="77777777" w:rsidR="003E5723" w:rsidRPr="00E0700C" w:rsidRDefault="003E5723" w:rsidP="003E5723">
            <w:pPr>
              <w:jc w:val="both"/>
              <w:rPr>
                <w:rFonts w:ascii="Times New Roman" w:hAnsi="Times New Roman" w:cs="Times New Roman"/>
                <w:color w:val="000000" w:themeColor="text1"/>
                <w:sz w:val="24"/>
                <w:szCs w:val="24"/>
              </w:rPr>
            </w:pPr>
            <w:r w:rsidRPr="00E0700C">
              <w:rPr>
                <w:rFonts w:ascii="Times New Roman" w:hAnsi="Times New Roman" w:cs="Times New Roman"/>
                <w:color w:val="000000" w:themeColor="text1"/>
                <w:sz w:val="24"/>
                <w:szCs w:val="24"/>
              </w:rPr>
              <w:t xml:space="preserve">Visais atvejais sprendimą dėl rekomendacijų mobilumo dalyviui priima projektą įgyvendinančios institucijos vadovas. Pilnametis mobilumo dalyvis, atsižvelgdamas į siunčiančios, priimančios institucijų bei Lietuvos ir atitinkamos šalies atsakingų nacionalinių institucijų rekomendacijas dėl užsikrėtimo prevencijos priemonių, priima  asmeninį sprendimą dėl mobilumo tęsimo ar nutraukimo </w:t>
            </w:r>
            <w:r w:rsidRPr="00E0700C">
              <w:rPr>
                <w:rFonts w:ascii="Times New Roman" w:hAnsi="Times New Roman" w:cs="Times New Roman"/>
                <w:b/>
                <w:color w:val="000000" w:themeColor="text1"/>
                <w:sz w:val="24"/>
                <w:szCs w:val="24"/>
              </w:rPr>
              <w:t>apie tai raštu</w:t>
            </w:r>
            <w:r w:rsidRPr="00E0700C">
              <w:rPr>
                <w:rFonts w:ascii="Times New Roman" w:hAnsi="Times New Roman" w:cs="Times New Roman"/>
                <w:color w:val="000000" w:themeColor="text1"/>
                <w:sz w:val="24"/>
                <w:szCs w:val="24"/>
              </w:rPr>
              <w:t xml:space="preserve"> informuodamas siunčiančiąją instituciją. </w:t>
            </w:r>
          </w:p>
        </w:tc>
      </w:tr>
      <w:tr w:rsidR="003E5723" w:rsidRPr="00E0700C" w14:paraId="673431C8" w14:textId="77777777" w:rsidTr="00B55917">
        <w:tc>
          <w:tcPr>
            <w:tcW w:w="2842" w:type="dxa"/>
          </w:tcPr>
          <w:p w14:paraId="0762D34C" w14:textId="3A91C011" w:rsidR="003E5723" w:rsidRPr="003E5723" w:rsidRDefault="003E5723" w:rsidP="003E5723">
            <w:pPr>
              <w:pStyle w:val="ListParagraph"/>
              <w:numPr>
                <w:ilvl w:val="0"/>
                <w:numId w:val="18"/>
              </w:numPr>
              <w:tabs>
                <w:tab w:val="left" w:pos="313"/>
              </w:tabs>
              <w:ind w:left="29" w:firstLine="0"/>
              <w:rPr>
                <w:rFonts w:ascii="Times New Roman" w:hAnsi="Times New Roman" w:cs="Times New Roman"/>
                <w:sz w:val="24"/>
                <w:szCs w:val="24"/>
              </w:rPr>
            </w:pPr>
            <w:r w:rsidRPr="003E5723">
              <w:rPr>
                <w:rFonts w:ascii="Times New Roman" w:hAnsi="Times New Roman" w:cs="Times New Roman"/>
                <w:color w:val="000000" w:themeColor="text1"/>
                <w:sz w:val="24"/>
                <w:szCs w:val="24"/>
              </w:rPr>
              <w:t>Studentas</w:t>
            </w:r>
            <w:r w:rsidRPr="003E5723">
              <w:rPr>
                <w:rFonts w:ascii="Times New Roman" w:hAnsi="Times New Roman" w:cs="Times New Roman"/>
                <w:sz w:val="24"/>
                <w:szCs w:val="24"/>
              </w:rPr>
              <w:t>, kurio mobilumo veikla yra sustabdyta, nusprendė arba buvo priverstas likti užsienyje, t. y. priimančiojoje šalyje. Kokios šiuo atveju yra finansavimo galimybės?</w:t>
            </w:r>
          </w:p>
          <w:p w14:paraId="5054B699" w14:textId="0D83766C" w:rsidR="003E5723" w:rsidRPr="00E0700C" w:rsidRDefault="003E5723" w:rsidP="005E3111">
            <w:pPr>
              <w:pStyle w:val="ListParagraph"/>
              <w:tabs>
                <w:tab w:val="left" w:pos="171"/>
              </w:tabs>
              <w:ind w:left="29"/>
              <w:rPr>
                <w:rFonts w:ascii="Times New Roman" w:hAnsi="Times New Roman" w:cs="Times New Roman"/>
                <w:sz w:val="24"/>
                <w:szCs w:val="24"/>
              </w:rPr>
            </w:pPr>
          </w:p>
        </w:tc>
        <w:tc>
          <w:tcPr>
            <w:tcW w:w="6786" w:type="dxa"/>
          </w:tcPr>
          <w:p w14:paraId="5CEDE832" w14:textId="05DBE5FA" w:rsidR="003E5723" w:rsidRPr="004119D2" w:rsidRDefault="003E5723" w:rsidP="003E5723">
            <w:pPr>
              <w:pStyle w:val="ListParagraph"/>
              <w:numPr>
                <w:ilvl w:val="0"/>
                <w:numId w:val="6"/>
              </w:numPr>
              <w:tabs>
                <w:tab w:val="left" w:pos="323"/>
              </w:tabs>
              <w:spacing w:after="60"/>
              <w:ind w:left="323" w:hanging="289"/>
              <w:jc w:val="both"/>
              <w:rPr>
                <w:rFonts w:ascii="Times New Roman" w:hAnsi="Times New Roman" w:cs="Times New Roman"/>
                <w:sz w:val="24"/>
                <w:szCs w:val="24"/>
              </w:rPr>
            </w:pPr>
            <w:r w:rsidRPr="00E0700C">
              <w:rPr>
                <w:rFonts w:ascii="Times New Roman" w:hAnsi="Times New Roman" w:cs="Times New Roman"/>
                <w:sz w:val="24"/>
                <w:szCs w:val="24"/>
              </w:rPr>
              <w:t xml:space="preserve">Studentui paliekama jau išmokėta stipendijos dalis. Vėliau, jei studentas nusprendžia netęsti studijų/praktikos (kai priimanti institucija informuos apie veiklų atnaujinimą), siunčiančioji institucija gali paprašyti studento grąžinti stipendijos dalį už neišbūtą laikotarpį. </w:t>
            </w:r>
            <w:r w:rsidRPr="004119D2">
              <w:rPr>
                <w:rFonts w:ascii="Times New Roman" w:hAnsi="Times New Roman" w:cs="Times New Roman"/>
                <w:sz w:val="24"/>
                <w:szCs w:val="24"/>
              </w:rPr>
              <w:t xml:space="preserve">Atvejai, kuomet studentui </w:t>
            </w:r>
            <w:r w:rsidRPr="004119D2">
              <w:rPr>
                <w:rFonts w:ascii="Times New Roman" w:eastAsia="Calibri" w:hAnsi="Times New Roman" w:cs="Times New Roman"/>
                <w:sz w:val="24"/>
                <w:szCs w:val="24"/>
                <w:lang w:eastAsia="en-US"/>
              </w:rPr>
              <w:t>gali būti mokama stipendija ir už sustabdyto mobilumo laikotarpį, pateikti papunktyje „Papildomos išlaidos“ žemiau.</w:t>
            </w:r>
          </w:p>
          <w:p w14:paraId="2DF1A420" w14:textId="77777777" w:rsidR="003E5723" w:rsidRPr="00E0700C" w:rsidRDefault="003E5723" w:rsidP="003E5723">
            <w:pPr>
              <w:pStyle w:val="ListParagraph"/>
              <w:numPr>
                <w:ilvl w:val="0"/>
                <w:numId w:val="6"/>
              </w:numPr>
              <w:tabs>
                <w:tab w:val="left" w:pos="323"/>
              </w:tabs>
              <w:spacing w:after="60"/>
              <w:ind w:left="323" w:hanging="289"/>
              <w:jc w:val="both"/>
              <w:rPr>
                <w:rFonts w:ascii="Times New Roman" w:hAnsi="Times New Roman" w:cs="Times New Roman"/>
                <w:sz w:val="24"/>
                <w:szCs w:val="24"/>
              </w:rPr>
            </w:pPr>
            <w:r w:rsidRPr="00E0700C">
              <w:rPr>
                <w:rFonts w:ascii="Times New Roman" w:hAnsi="Times New Roman" w:cs="Times New Roman"/>
                <w:sz w:val="24"/>
                <w:szCs w:val="24"/>
              </w:rPr>
              <w:t xml:space="preserve">Jeigu studentas, priimančiajai institucijai atnaujinus veiklas, nusprendžia tęsti studijas / praktiką, studentui mokama likusi stipendija už laikotarpį po veiklų atnaujinimo. </w:t>
            </w:r>
          </w:p>
          <w:p w14:paraId="2A3230ED" w14:textId="77777777" w:rsidR="003E5723" w:rsidRPr="00E0700C" w:rsidRDefault="003E5723" w:rsidP="003E5723">
            <w:pPr>
              <w:pStyle w:val="ListParagraph"/>
              <w:numPr>
                <w:ilvl w:val="0"/>
                <w:numId w:val="6"/>
              </w:numPr>
              <w:tabs>
                <w:tab w:val="left" w:pos="323"/>
              </w:tabs>
              <w:spacing w:after="60"/>
              <w:ind w:left="323" w:hanging="289"/>
              <w:jc w:val="both"/>
              <w:rPr>
                <w:rFonts w:ascii="Times New Roman" w:hAnsi="Times New Roman" w:cs="Times New Roman"/>
                <w:sz w:val="24"/>
                <w:szCs w:val="24"/>
              </w:rPr>
            </w:pPr>
            <w:r w:rsidRPr="00E0700C">
              <w:rPr>
                <w:rFonts w:ascii="Times New Roman" w:hAnsi="Times New Roman" w:cs="Times New Roman"/>
                <w:sz w:val="24"/>
                <w:szCs w:val="24"/>
              </w:rPr>
              <w:t>Papildomos išlaidos. Be stipendijos dalies už laikotarpį po priimančiosios institucijos veiklų atnaujinimo studentui gali būti mokama stipendija taip pat už laikotarpį, kuomet mobilumas buvo sustabdytas, su sąlyga, kad:</w:t>
            </w:r>
          </w:p>
          <w:p w14:paraId="628BAAA5" w14:textId="77777777" w:rsidR="003E5723" w:rsidRPr="00E0700C" w:rsidRDefault="003E5723" w:rsidP="003E5723">
            <w:pPr>
              <w:pStyle w:val="ListParagraph"/>
              <w:numPr>
                <w:ilvl w:val="0"/>
                <w:numId w:val="13"/>
              </w:numPr>
              <w:tabs>
                <w:tab w:val="left" w:pos="323"/>
              </w:tabs>
              <w:spacing w:after="60"/>
              <w:jc w:val="both"/>
              <w:rPr>
                <w:rFonts w:ascii="Times New Roman" w:hAnsi="Times New Roman" w:cs="Times New Roman"/>
                <w:sz w:val="24"/>
                <w:szCs w:val="24"/>
              </w:rPr>
            </w:pPr>
            <w:r w:rsidRPr="00E0700C">
              <w:rPr>
                <w:rFonts w:ascii="Times New Roman" w:hAnsi="Times New Roman" w:cs="Times New Roman"/>
                <w:sz w:val="24"/>
                <w:szCs w:val="24"/>
              </w:rPr>
              <w:t>studentas tęs studijas / praktiką užsienyje, kai tik priimančioji institucija praneš apie veiklų atnaujinimą ir</w:t>
            </w:r>
          </w:p>
          <w:p w14:paraId="231E5EC6" w14:textId="77777777" w:rsidR="003E5723" w:rsidRPr="00E0700C" w:rsidRDefault="003E5723" w:rsidP="003E5723">
            <w:pPr>
              <w:pStyle w:val="ListParagraph"/>
              <w:numPr>
                <w:ilvl w:val="0"/>
                <w:numId w:val="13"/>
              </w:numPr>
              <w:tabs>
                <w:tab w:val="left" w:pos="323"/>
              </w:tabs>
              <w:spacing w:after="60"/>
              <w:jc w:val="both"/>
              <w:rPr>
                <w:rFonts w:ascii="Times New Roman" w:hAnsi="Times New Roman" w:cs="Times New Roman"/>
                <w:sz w:val="24"/>
                <w:szCs w:val="24"/>
              </w:rPr>
            </w:pPr>
            <w:r w:rsidRPr="00E0700C">
              <w:rPr>
                <w:rFonts w:ascii="Times New Roman" w:hAnsi="Times New Roman" w:cs="Times New Roman"/>
                <w:sz w:val="24"/>
                <w:szCs w:val="24"/>
              </w:rPr>
              <w:t>studentas buvo priverstas likti užsienyje dėl atitinkamų šalių valdžios institucijų įvestų kelionės apribojimų, susijusių su COVID-19 plitimu (pandemija).</w:t>
            </w:r>
          </w:p>
          <w:p w14:paraId="5F269BCF" w14:textId="77777777" w:rsidR="003E5723" w:rsidRPr="00E0700C" w:rsidRDefault="003E5723" w:rsidP="003E5723">
            <w:pPr>
              <w:tabs>
                <w:tab w:val="left" w:pos="323"/>
              </w:tabs>
              <w:spacing w:after="60"/>
              <w:jc w:val="both"/>
              <w:rPr>
                <w:rFonts w:ascii="Times New Roman" w:hAnsi="Times New Roman" w:cs="Times New Roman"/>
                <w:sz w:val="24"/>
                <w:szCs w:val="24"/>
              </w:rPr>
            </w:pPr>
            <w:r w:rsidRPr="00E0700C">
              <w:rPr>
                <w:rFonts w:ascii="Times New Roman" w:hAnsi="Times New Roman" w:cs="Times New Roman"/>
                <w:b/>
                <w:sz w:val="24"/>
                <w:szCs w:val="24"/>
              </w:rPr>
              <w:t>Dėmesio!</w:t>
            </w:r>
            <w:r w:rsidRPr="00E0700C">
              <w:rPr>
                <w:rFonts w:ascii="Times New Roman" w:hAnsi="Times New Roman" w:cs="Times New Roman"/>
                <w:sz w:val="24"/>
                <w:szCs w:val="24"/>
              </w:rPr>
              <w:t xml:space="preserve"> Kiekvieną atvejį siunčiančioji institucija nagrinėja atskirai, atsižvelgdama į turimą programos „Erasmus+“ finansavimą ir užtikrindama vienodą identiškų ar panašių atvejų traktavimą.</w:t>
            </w:r>
          </w:p>
        </w:tc>
      </w:tr>
      <w:tr w:rsidR="003E5723" w:rsidRPr="00E0700C" w14:paraId="3344BD54" w14:textId="77777777" w:rsidTr="00362896">
        <w:trPr>
          <w:trHeight w:val="2020"/>
        </w:trPr>
        <w:tc>
          <w:tcPr>
            <w:tcW w:w="2842" w:type="dxa"/>
          </w:tcPr>
          <w:p w14:paraId="1A1BE116" w14:textId="599A22C3" w:rsidR="003E5723" w:rsidRPr="003E5723" w:rsidRDefault="003E5723" w:rsidP="003E5723">
            <w:pPr>
              <w:pStyle w:val="ListParagraph"/>
              <w:numPr>
                <w:ilvl w:val="0"/>
                <w:numId w:val="18"/>
              </w:numPr>
              <w:tabs>
                <w:tab w:val="left" w:pos="313"/>
              </w:tabs>
              <w:ind w:left="29" w:hanging="29"/>
              <w:rPr>
                <w:rFonts w:ascii="Times New Roman" w:hAnsi="Times New Roman" w:cs="Times New Roman"/>
                <w:sz w:val="24"/>
                <w:szCs w:val="24"/>
              </w:rPr>
            </w:pPr>
            <w:r w:rsidRPr="003E5723">
              <w:rPr>
                <w:rFonts w:ascii="Times New Roman" w:hAnsi="Times New Roman" w:cs="Times New Roman"/>
                <w:sz w:val="24"/>
                <w:szCs w:val="24"/>
              </w:rPr>
              <w:t>Ar gali būti atlygintos papildomos kelionės išlaidos studentams, kurie į mobilumus vyko su nuline stipendija lygiai taip pat kaip studentams su pilna stipendija?</w:t>
            </w:r>
          </w:p>
          <w:p w14:paraId="7900C341" w14:textId="4F776566" w:rsidR="003E5723" w:rsidRPr="00E0700C" w:rsidRDefault="003E5723" w:rsidP="003E5723">
            <w:pPr>
              <w:pStyle w:val="ListParagraph"/>
              <w:tabs>
                <w:tab w:val="left" w:pos="29"/>
              </w:tabs>
              <w:ind w:left="29" w:hanging="29"/>
              <w:rPr>
                <w:rFonts w:ascii="Times New Roman" w:hAnsi="Times New Roman" w:cs="Times New Roman"/>
                <w:sz w:val="24"/>
                <w:szCs w:val="24"/>
              </w:rPr>
            </w:pPr>
          </w:p>
        </w:tc>
        <w:tc>
          <w:tcPr>
            <w:tcW w:w="6786" w:type="dxa"/>
          </w:tcPr>
          <w:p w14:paraId="2D4F9BEF" w14:textId="77777777" w:rsidR="003E5723" w:rsidRPr="00E0700C" w:rsidRDefault="003E5723" w:rsidP="003E5723">
            <w:pPr>
              <w:tabs>
                <w:tab w:val="left" w:pos="318"/>
              </w:tabs>
              <w:spacing w:after="60"/>
              <w:jc w:val="both"/>
              <w:rPr>
                <w:rFonts w:ascii="Times New Roman" w:hAnsi="Times New Roman" w:cs="Times New Roman"/>
                <w:sz w:val="24"/>
                <w:szCs w:val="24"/>
              </w:rPr>
            </w:pPr>
            <w:r w:rsidRPr="00E0700C">
              <w:rPr>
                <w:rFonts w:ascii="Times New Roman" w:hAnsi="Times New Roman" w:cs="Times New Roman"/>
                <w:sz w:val="24"/>
                <w:szCs w:val="24"/>
              </w:rPr>
              <w:t xml:space="preserve">Atsižvelgiant į </w:t>
            </w:r>
            <w:r w:rsidRPr="00E0700C">
              <w:rPr>
                <w:rFonts w:ascii="Times New Roman" w:hAnsi="Times New Roman" w:cs="Times New Roman"/>
                <w:i/>
                <w:sz w:val="24"/>
                <w:szCs w:val="24"/>
              </w:rPr>
              <w:t>force majeure</w:t>
            </w:r>
            <w:r w:rsidRPr="00E0700C">
              <w:rPr>
                <w:rFonts w:ascii="Times New Roman" w:hAnsi="Times New Roman" w:cs="Times New Roman"/>
                <w:sz w:val="24"/>
                <w:szCs w:val="24"/>
              </w:rPr>
              <w:t xml:space="preserve"> aplinkybes aukštosios mokyklos, išimties tvarka, gali nuspręsti kompensuoti papildomas išlaidas studentams, kurie į mobilumus vyko su nuline stipendija, nors įprastomis sąlygomis, stipendijos negavę studentai, negauna finansavimo, skirto padengti kelionės ir pragyvenimo išlaidas. </w:t>
            </w:r>
          </w:p>
          <w:p w14:paraId="621DFB76" w14:textId="77777777" w:rsidR="003E5723" w:rsidRPr="00E0700C" w:rsidRDefault="003E5723" w:rsidP="003E5723">
            <w:pPr>
              <w:tabs>
                <w:tab w:val="left" w:pos="323"/>
              </w:tabs>
              <w:spacing w:after="60"/>
              <w:jc w:val="both"/>
              <w:rPr>
                <w:rFonts w:ascii="Times New Roman" w:hAnsi="Times New Roman" w:cs="Times New Roman"/>
                <w:sz w:val="24"/>
                <w:szCs w:val="24"/>
              </w:rPr>
            </w:pPr>
          </w:p>
        </w:tc>
      </w:tr>
    </w:tbl>
    <w:p w14:paraId="64CC6FEC" w14:textId="77777777" w:rsidR="00D329ED" w:rsidRPr="00E0700C" w:rsidRDefault="00D329ED" w:rsidP="00A348E2">
      <w:pPr>
        <w:spacing w:line="240" w:lineRule="auto"/>
        <w:rPr>
          <w:rFonts w:ascii="Times New Roman" w:hAnsi="Times New Roman" w:cs="Times New Roman"/>
          <w:color w:val="000000" w:themeColor="text1"/>
          <w:sz w:val="24"/>
          <w:szCs w:val="24"/>
        </w:rPr>
      </w:pPr>
    </w:p>
    <w:sectPr w:rsidR="00D329ED" w:rsidRPr="00E0700C" w:rsidSect="009E6FF7">
      <w:footerReference w:type="default" r:id="rId17"/>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E7FC57" w14:textId="77777777" w:rsidR="00F4460A" w:rsidRDefault="00F4460A" w:rsidP="00407B6A">
      <w:pPr>
        <w:spacing w:after="0" w:line="240" w:lineRule="auto"/>
      </w:pPr>
      <w:r>
        <w:separator/>
      </w:r>
    </w:p>
  </w:endnote>
  <w:endnote w:type="continuationSeparator" w:id="0">
    <w:p w14:paraId="5181ED69" w14:textId="77777777" w:rsidR="00F4460A" w:rsidRDefault="00F4460A" w:rsidP="00407B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Montserrat">
    <w:altName w:val="Times New Roman"/>
    <w:panose1 w:val="00000000000000000000"/>
    <w:charset w:val="00"/>
    <w:family w:val="roman"/>
    <w:notTrueType/>
    <w:pitch w:val="default"/>
  </w:font>
  <w:font w:name="Segoe UI">
    <w:panose1 w:val="020B0502040204020203"/>
    <w:charset w:val="00"/>
    <w:family w:val="swiss"/>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8FA605" w14:textId="57AE0D24" w:rsidR="00D61E88" w:rsidRPr="00514B07" w:rsidRDefault="00D61E88" w:rsidP="00D61E88">
    <w:pPr>
      <w:pStyle w:val="Footer"/>
      <w:jc w:val="right"/>
      <w:rPr>
        <w:lang w:val="en-US"/>
      </w:rPr>
    </w:pPr>
    <w:r>
      <w:t>2 versija, 2020-10-2</w:t>
    </w:r>
    <w:r w:rsidR="00514B07">
      <w:rPr>
        <w:lang w:val="en-US"/>
      </w:rPr>
      <w:t>8</w:t>
    </w:r>
  </w:p>
  <w:p w14:paraId="65504459" w14:textId="77777777" w:rsidR="00D61E88" w:rsidRDefault="00D61E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CCE84E" w14:textId="77777777" w:rsidR="00F4460A" w:rsidRDefault="00F4460A" w:rsidP="00407B6A">
      <w:pPr>
        <w:spacing w:after="0" w:line="240" w:lineRule="auto"/>
      </w:pPr>
      <w:r>
        <w:separator/>
      </w:r>
    </w:p>
  </w:footnote>
  <w:footnote w:type="continuationSeparator" w:id="0">
    <w:p w14:paraId="5A6A3118" w14:textId="77777777" w:rsidR="00F4460A" w:rsidRDefault="00F4460A" w:rsidP="00407B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6C2C75"/>
    <w:multiLevelType w:val="hybridMultilevel"/>
    <w:tmpl w:val="05B8E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A51509"/>
    <w:multiLevelType w:val="hybridMultilevel"/>
    <w:tmpl w:val="55AC21F4"/>
    <w:lvl w:ilvl="0" w:tplc="0E147C6E">
      <w:start w:val="1"/>
      <w:numFmt w:val="decimal"/>
      <w:lvlText w:val="%1."/>
      <w:lvlJc w:val="left"/>
      <w:pPr>
        <w:ind w:left="3060" w:hanging="360"/>
      </w:pPr>
      <w:rPr>
        <w:rFonts w:hint="default"/>
        <w:color w:val="000000" w:themeColor="text1"/>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28561850"/>
    <w:multiLevelType w:val="hybridMultilevel"/>
    <w:tmpl w:val="B572625E"/>
    <w:lvl w:ilvl="0" w:tplc="04270001">
      <w:start w:val="1"/>
      <w:numFmt w:val="bullet"/>
      <w:lvlText w:val=""/>
      <w:lvlJc w:val="left"/>
      <w:pPr>
        <w:ind w:left="0" w:hanging="360"/>
      </w:pPr>
      <w:rPr>
        <w:rFonts w:ascii="Symbol" w:hAnsi="Symbol" w:hint="default"/>
      </w:rPr>
    </w:lvl>
    <w:lvl w:ilvl="1" w:tplc="04270003">
      <w:start w:val="1"/>
      <w:numFmt w:val="bullet"/>
      <w:lvlText w:val="o"/>
      <w:lvlJc w:val="left"/>
      <w:pPr>
        <w:ind w:left="720" w:hanging="360"/>
      </w:pPr>
      <w:rPr>
        <w:rFonts w:ascii="Courier New" w:hAnsi="Courier New" w:cs="Courier New" w:hint="default"/>
      </w:rPr>
    </w:lvl>
    <w:lvl w:ilvl="2" w:tplc="04270005">
      <w:start w:val="1"/>
      <w:numFmt w:val="bullet"/>
      <w:lvlText w:val=""/>
      <w:lvlJc w:val="left"/>
      <w:pPr>
        <w:ind w:left="1440" w:hanging="360"/>
      </w:pPr>
      <w:rPr>
        <w:rFonts w:ascii="Wingdings" w:hAnsi="Wingdings" w:hint="default"/>
      </w:rPr>
    </w:lvl>
    <w:lvl w:ilvl="3" w:tplc="04270001">
      <w:start w:val="1"/>
      <w:numFmt w:val="bullet"/>
      <w:lvlText w:val=""/>
      <w:lvlJc w:val="left"/>
      <w:pPr>
        <w:ind w:left="2160" w:hanging="360"/>
      </w:pPr>
      <w:rPr>
        <w:rFonts w:ascii="Symbol" w:hAnsi="Symbol" w:hint="default"/>
      </w:rPr>
    </w:lvl>
    <w:lvl w:ilvl="4" w:tplc="04270003">
      <w:start w:val="1"/>
      <w:numFmt w:val="bullet"/>
      <w:lvlText w:val="o"/>
      <w:lvlJc w:val="left"/>
      <w:pPr>
        <w:ind w:left="2880" w:hanging="360"/>
      </w:pPr>
      <w:rPr>
        <w:rFonts w:ascii="Courier New" w:hAnsi="Courier New" w:cs="Courier New" w:hint="default"/>
      </w:rPr>
    </w:lvl>
    <w:lvl w:ilvl="5" w:tplc="04270005">
      <w:start w:val="1"/>
      <w:numFmt w:val="bullet"/>
      <w:lvlText w:val=""/>
      <w:lvlJc w:val="left"/>
      <w:pPr>
        <w:ind w:left="3600" w:hanging="360"/>
      </w:pPr>
      <w:rPr>
        <w:rFonts w:ascii="Wingdings" w:hAnsi="Wingdings" w:hint="default"/>
      </w:rPr>
    </w:lvl>
    <w:lvl w:ilvl="6" w:tplc="04270001">
      <w:start w:val="1"/>
      <w:numFmt w:val="bullet"/>
      <w:lvlText w:val=""/>
      <w:lvlJc w:val="left"/>
      <w:pPr>
        <w:ind w:left="4320" w:hanging="360"/>
      </w:pPr>
      <w:rPr>
        <w:rFonts w:ascii="Symbol" w:hAnsi="Symbol" w:hint="default"/>
      </w:rPr>
    </w:lvl>
    <w:lvl w:ilvl="7" w:tplc="04270003">
      <w:start w:val="1"/>
      <w:numFmt w:val="bullet"/>
      <w:lvlText w:val="o"/>
      <w:lvlJc w:val="left"/>
      <w:pPr>
        <w:ind w:left="5040" w:hanging="360"/>
      </w:pPr>
      <w:rPr>
        <w:rFonts w:ascii="Courier New" w:hAnsi="Courier New" w:cs="Courier New" w:hint="default"/>
      </w:rPr>
    </w:lvl>
    <w:lvl w:ilvl="8" w:tplc="04270005">
      <w:start w:val="1"/>
      <w:numFmt w:val="bullet"/>
      <w:lvlText w:val=""/>
      <w:lvlJc w:val="left"/>
      <w:pPr>
        <w:ind w:left="5760" w:hanging="360"/>
      </w:pPr>
      <w:rPr>
        <w:rFonts w:ascii="Wingdings" w:hAnsi="Wingdings" w:hint="default"/>
      </w:rPr>
    </w:lvl>
  </w:abstractNum>
  <w:abstractNum w:abstractNumId="3" w15:restartNumberingAfterBreak="0">
    <w:nsid w:val="318215FD"/>
    <w:multiLevelType w:val="multilevel"/>
    <w:tmpl w:val="73CCD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21D3AA3"/>
    <w:multiLevelType w:val="hybridMultilevel"/>
    <w:tmpl w:val="3E12AA00"/>
    <w:lvl w:ilvl="0" w:tplc="9B3613D6">
      <w:start w:val="1"/>
      <w:numFmt w:val="decimal"/>
      <w:lvlText w:val="%1."/>
      <w:lvlJc w:val="left"/>
      <w:pPr>
        <w:ind w:left="2203" w:hanging="360"/>
      </w:pPr>
      <w:rPr>
        <w:rFonts w:hint="default"/>
      </w:rPr>
    </w:lvl>
    <w:lvl w:ilvl="1" w:tplc="04270019" w:tentative="1">
      <w:start w:val="1"/>
      <w:numFmt w:val="lowerLetter"/>
      <w:lvlText w:val="%2."/>
      <w:lvlJc w:val="left"/>
      <w:pPr>
        <w:ind w:left="1109" w:hanging="360"/>
      </w:pPr>
    </w:lvl>
    <w:lvl w:ilvl="2" w:tplc="0427001B" w:tentative="1">
      <w:start w:val="1"/>
      <w:numFmt w:val="lowerRoman"/>
      <w:lvlText w:val="%3."/>
      <w:lvlJc w:val="right"/>
      <w:pPr>
        <w:ind w:left="1829" w:hanging="180"/>
      </w:pPr>
    </w:lvl>
    <w:lvl w:ilvl="3" w:tplc="0427000F" w:tentative="1">
      <w:start w:val="1"/>
      <w:numFmt w:val="decimal"/>
      <w:lvlText w:val="%4."/>
      <w:lvlJc w:val="left"/>
      <w:pPr>
        <w:ind w:left="2549" w:hanging="360"/>
      </w:pPr>
    </w:lvl>
    <w:lvl w:ilvl="4" w:tplc="04270019" w:tentative="1">
      <w:start w:val="1"/>
      <w:numFmt w:val="lowerLetter"/>
      <w:lvlText w:val="%5."/>
      <w:lvlJc w:val="left"/>
      <w:pPr>
        <w:ind w:left="3269" w:hanging="360"/>
      </w:pPr>
    </w:lvl>
    <w:lvl w:ilvl="5" w:tplc="0427001B" w:tentative="1">
      <w:start w:val="1"/>
      <w:numFmt w:val="lowerRoman"/>
      <w:lvlText w:val="%6."/>
      <w:lvlJc w:val="right"/>
      <w:pPr>
        <w:ind w:left="3989" w:hanging="180"/>
      </w:pPr>
    </w:lvl>
    <w:lvl w:ilvl="6" w:tplc="0427000F" w:tentative="1">
      <w:start w:val="1"/>
      <w:numFmt w:val="decimal"/>
      <w:lvlText w:val="%7."/>
      <w:lvlJc w:val="left"/>
      <w:pPr>
        <w:ind w:left="4709" w:hanging="360"/>
      </w:pPr>
    </w:lvl>
    <w:lvl w:ilvl="7" w:tplc="04270019" w:tentative="1">
      <w:start w:val="1"/>
      <w:numFmt w:val="lowerLetter"/>
      <w:lvlText w:val="%8."/>
      <w:lvlJc w:val="left"/>
      <w:pPr>
        <w:ind w:left="5429" w:hanging="360"/>
      </w:pPr>
    </w:lvl>
    <w:lvl w:ilvl="8" w:tplc="0427001B" w:tentative="1">
      <w:start w:val="1"/>
      <w:numFmt w:val="lowerRoman"/>
      <w:lvlText w:val="%9."/>
      <w:lvlJc w:val="right"/>
      <w:pPr>
        <w:ind w:left="6149" w:hanging="180"/>
      </w:pPr>
    </w:lvl>
  </w:abstractNum>
  <w:abstractNum w:abstractNumId="5" w15:restartNumberingAfterBreak="0">
    <w:nsid w:val="34F00B80"/>
    <w:multiLevelType w:val="multilevel"/>
    <w:tmpl w:val="B518C6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51A6137"/>
    <w:multiLevelType w:val="hybridMultilevel"/>
    <w:tmpl w:val="F8B02F34"/>
    <w:lvl w:ilvl="0" w:tplc="B4E8A82A">
      <w:start w:val="202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8E7F3B"/>
    <w:multiLevelType w:val="hybridMultilevel"/>
    <w:tmpl w:val="9ECC95CC"/>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E95740"/>
    <w:multiLevelType w:val="hybridMultilevel"/>
    <w:tmpl w:val="033C9154"/>
    <w:lvl w:ilvl="0" w:tplc="0E147C6E">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F303907"/>
    <w:multiLevelType w:val="hybridMultilevel"/>
    <w:tmpl w:val="F76A5DD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5442428D"/>
    <w:multiLevelType w:val="multilevel"/>
    <w:tmpl w:val="D3DC2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6705C3D"/>
    <w:multiLevelType w:val="hybridMultilevel"/>
    <w:tmpl w:val="9F82C7C8"/>
    <w:lvl w:ilvl="0" w:tplc="04270001">
      <w:start w:val="1"/>
      <w:numFmt w:val="bullet"/>
      <w:lvlText w:val=""/>
      <w:lvlJc w:val="left"/>
      <w:pPr>
        <w:ind w:left="360" w:hanging="360"/>
      </w:pPr>
      <w:rPr>
        <w:rFonts w:ascii="Symbol" w:hAnsi="Symbol" w:hint="default"/>
      </w:rPr>
    </w:lvl>
    <w:lvl w:ilvl="1" w:tplc="04270003">
      <w:start w:val="1"/>
      <w:numFmt w:val="bullet"/>
      <w:lvlText w:val="o"/>
      <w:lvlJc w:val="left"/>
      <w:pPr>
        <w:ind w:left="1080" w:hanging="360"/>
      </w:pPr>
      <w:rPr>
        <w:rFonts w:ascii="Courier New" w:hAnsi="Courier New" w:cs="Courier New" w:hint="default"/>
      </w:rPr>
    </w:lvl>
    <w:lvl w:ilvl="2" w:tplc="04270005">
      <w:start w:val="1"/>
      <w:numFmt w:val="bullet"/>
      <w:lvlText w:val=""/>
      <w:lvlJc w:val="left"/>
      <w:pPr>
        <w:ind w:left="1800" w:hanging="360"/>
      </w:pPr>
      <w:rPr>
        <w:rFonts w:ascii="Wingdings" w:hAnsi="Wingdings" w:hint="default"/>
      </w:rPr>
    </w:lvl>
    <w:lvl w:ilvl="3" w:tplc="04270001">
      <w:start w:val="1"/>
      <w:numFmt w:val="bullet"/>
      <w:lvlText w:val=""/>
      <w:lvlJc w:val="left"/>
      <w:pPr>
        <w:ind w:left="2520" w:hanging="360"/>
      </w:pPr>
      <w:rPr>
        <w:rFonts w:ascii="Symbol" w:hAnsi="Symbol" w:hint="default"/>
      </w:rPr>
    </w:lvl>
    <w:lvl w:ilvl="4" w:tplc="04270003">
      <w:start w:val="1"/>
      <w:numFmt w:val="bullet"/>
      <w:lvlText w:val="o"/>
      <w:lvlJc w:val="left"/>
      <w:pPr>
        <w:ind w:left="3240" w:hanging="360"/>
      </w:pPr>
      <w:rPr>
        <w:rFonts w:ascii="Courier New" w:hAnsi="Courier New" w:cs="Courier New" w:hint="default"/>
      </w:rPr>
    </w:lvl>
    <w:lvl w:ilvl="5" w:tplc="04270005">
      <w:start w:val="1"/>
      <w:numFmt w:val="bullet"/>
      <w:lvlText w:val=""/>
      <w:lvlJc w:val="left"/>
      <w:pPr>
        <w:ind w:left="3960" w:hanging="360"/>
      </w:pPr>
      <w:rPr>
        <w:rFonts w:ascii="Wingdings" w:hAnsi="Wingdings" w:hint="default"/>
      </w:rPr>
    </w:lvl>
    <w:lvl w:ilvl="6" w:tplc="04270001">
      <w:start w:val="1"/>
      <w:numFmt w:val="bullet"/>
      <w:lvlText w:val=""/>
      <w:lvlJc w:val="left"/>
      <w:pPr>
        <w:ind w:left="4680" w:hanging="360"/>
      </w:pPr>
      <w:rPr>
        <w:rFonts w:ascii="Symbol" w:hAnsi="Symbol" w:hint="default"/>
      </w:rPr>
    </w:lvl>
    <w:lvl w:ilvl="7" w:tplc="04270003">
      <w:start w:val="1"/>
      <w:numFmt w:val="bullet"/>
      <w:lvlText w:val="o"/>
      <w:lvlJc w:val="left"/>
      <w:pPr>
        <w:ind w:left="5400" w:hanging="360"/>
      </w:pPr>
      <w:rPr>
        <w:rFonts w:ascii="Courier New" w:hAnsi="Courier New" w:cs="Courier New" w:hint="default"/>
      </w:rPr>
    </w:lvl>
    <w:lvl w:ilvl="8" w:tplc="04270005">
      <w:start w:val="1"/>
      <w:numFmt w:val="bullet"/>
      <w:lvlText w:val=""/>
      <w:lvlJc w:val="left"/>
      <w:pPr>
        <w:ind w:left="6120" w:hanging="360"/>
      </w:pPr>
      <w:rPr>
        <w:rFonts w:ascii="Wingdings" w:hAnsi="Wingdings" w:hint="default"/>
      </w:rPr>
    </w:lvl>
  </w:abstractNum>
  <w:abstractNum w:abstractNumId="12" w15:restartNumberingAfterBreak="0">
    <w:nsid w:val="60C065C2"/>
    <w:multiLevelType w:val="multilevel"/>
    <w:tmpl w:val="3D9CFF6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3" w15:restartNumberingAfterBreak="0">
    <w:nsid w:val="62551082"/>
    <w:multiLevelType w:val="hybridMultilevel"/>
    <w:tmpl w:val="085051D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68B94EE2"/>
    <w:multiLevelType w:val="hybridMultilevel"/>
    <w:tmpl w:val="ED14A9C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69E25CFC"/>
    <w:multiLevelType w:val="hybridMultilevel"/>
    <w:tmpl w:val="F34E8C44"/>
    <w:lvl w:ilvl="0" w:tplc="04270001">
      <w:start w:val="1"/>
      <w:numFmt w:val="bullet"/>
      <w:lvlText w:val=""/>
      <w:lvlJc w:val="left"/>
      <w:pPr>
        <w:ind w:left="754" w:hanging="360"/>
      </w:pPr>
      <w:rPr>
        <w:rFonts w:ascii="Symbol" w:hAnsi="Symbol" w:hint="default"/>
      </w:rPr>
    </w:lvl>
    <w:lvl w:ilvl="1" w:tplc="04270003" w:tentative="1">
      <w:start w:val="1"/>
      <w:numFmt w:val="bullet"/>
      <w:lvlText w:val="o"/>
      <w:lvlJc w:val="left"/>
      <w:pPr>
        <w:ind w:left="1474" w:hanging="360"/>
      </w:pPr>
      <w:rPr>
        <w:rFonts w:ascii="Courier New" w:hAnsi="Courier New" w:cs="Courier New" w:hint="default"/>
      </w:rPr>
    </w:lvl>
    <w:lvl w:ilvl="2" w:tplc="04270005" w:tentative="1">
      <w:start w:val="1"/>
      <w:numFmt w:val="bullet"/>
      <w:lvlText w:val=""/>
      <w:lvlJc w:val="left"/>
      <w:pPr>
        <w:ind w:left="2194" w:hanging="360"/>
      </w:pPr>
      <w:rPr>
        <w:rFonts w:ascii="Wingdings" w:hAnsi="Wingdings" w:hint="default"/>
      </w:rPr>
    </w:lvl>
    <w:lvl w:ilvl="3" w:tplc="04270001" w:tentative="1">
      <w:start w:val="1"/>
      <w:numFmt w:val="bullet"/>
      <w:lvlText w:val=""/>
      <w:lvlJc w:val="left"/>
      <w:pPr>
        <w:ind w:left="2914" w:hanging="360"/>
      </w:pPr>
      <w:rPr>
        <w:rFonts w:ascii="Symbol" w:hAnsi="Symbol" w:hint="default"/>
      </w:rPr>
    </w:lvl>
    <w:lvl w:ilvl="4" w:tplc="04270003" w:tentative="1">
      <w:start w:val="1"/>
      <w:numFmt w:val="bullet"/>
      <w:lvlText w:val="o"/>
      <w:lvlJc w:val="left"/>
      <w:pPr>
        <w:ind w:left="3634" w:hanging="360"/>
      </w:pPr>
      <w:rPr>
        <w:rFonts w:ascii="Courier New" w:hAnsi="Courier New" w:cs="Courier New" w:hint="default"/>
      </w:rPr>
    </w:lvl>
    <w:lvl w:ilvl="5" w:tplc="04270005" w:tentative="1">
      <w:start w:val="1"/>
      <w:numFmt w:val="bullet"/>
      <w:lvlText w:val=""/>
      <w:lvlJc w:val="left"/>
      <w:pPr>
        <w:ind w:left="4354" w:hanging="360"/>
      </w:pPr>
      <w:rPr>
        <w:rFonts w:ascii="Wingdings" w:hAnsi="Wingdings" w:hint="default"/>
      </w:rPr>
    </w:lvl>
    <w:lvl w:ilvl="6" w:tplc="04270001" w:tentative="1">
      <w:start w:val="1"/>
      <w:numFmt w:val="bullet"/>
      <w:lvlText w:val=""/>
      <w:lvlJc w:val="left"/>
      <w:pPr>
        <w:ind w:left="5074" w:hanging="360"/>
      </w:pPr>
      <w:rPr>
        <w:rFonts w:ascii="Symbol" w:hAnsi="Symbol" w:hint="default"/>
      </w:rPr>
    </w:lvl>
    <w:lvl w:ilvl="7" w:tplc="04270003" w:tentative="1">
      <w:start w:val="1"/>
      <w:numFmt w:val="bullet"/>
      <w:lvlText w:val="o"/>
      <w:lvlJc w:val="left"/>
      <w:pPr>
        <w:ind w:left="5794" w:hanging="360"/>
      </w:pPr>
      <w:rPr>
        <w:rFonts w:ascii="Courier New" w:hAnsi="Courier New" w:cs="Courier New" w:hint="default"/>
      </w:rPr>
    </w:lvl>
    <w:lvl w:ilvl="8" w:tplc="04270005" w:tentative="1">
      <w:start w:val="1"/>
      <w:numFmt w:val="bullet"/>
      <w:lvlText w:val=""/>
      <w:lvlJc w:val="left"/>
      <w:pPr>
        <w:ind w:left="6514" w:hanging="360"/>
      </w:pPr>
      <w:rPr>
        <w:rFonts w:ascii="Wingdings" w:hAnsi="Wingdings" w:hint="default"/>
      </w:rPr>
    </w:lvl>
  </w:abstractNum>
  <w:abstractNum w:abstractNumId="16" w15:restartNumberingAfterBreak="0">
    <w:nsid w:val="6E4E75E2"/>
    <w:multiLevelType w:val="hybridMultilevel"/>
    <w:tmpl w:val="3F2A834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15:restartNumberingAfterBreak="0">
    <w:nsid w:val="771A7B42"/>
    <w:multiLevelType w:val="hybridMultilevel"/>
    <w:tmpl w:val="4142D5B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15:restartNumberingAfterBreak="0">
    <w:nsid w:val="77926D4C"/>
    <w:multiLevelType w:val="hybridMultilevel"/>
    <w:tmpl w:val="4D68264C"/>
    <w:lvl w:ilvl="0" w:tplc="EEA275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1"/>
  </w:num>
  <w:num w:numId="3">
    <w:abstractNumId w:val="12"/>
  </w:num>
  <w:num w:numId="4">
    <w:abstractNumId w:val="5"/>
  </w:num>
  <w:num w:numId="5">
    <w:abstractNumId w:val="14"/>
  </w:num>
  <w:num w:numId="6">
    <w:abstractNumId w:val="9"/>
  </w:num>
  <w:num w:numId="7">
    <w:abstractNumId w:val="13"/>
  </w:num>
  <w:num w:numId="8">
    <w:abstractNumId w:val="4"/>
  </w:num>
  <w:num w:numId="9">
    <w:abstractNumId w:val="16"/>
  </w:num>
  <w:num w:numId="10">
    <w:abstractNumId w:val="17"/>
  </w:num>
  <w:num w:numId="11">
    <w:abstractNumId w:val="1"/>
  </w:num>
  <w:num w:numId="12">
    <w:abstractNumId w:val="7"/>
  </w:num>
  <w:num w:numId="13">
    <w:abstractNumId w:val="6"/>
  </w:num>
  <w:num w:numId="14">
    <w:abstractNumId w:val="0"/>
  </w:num>
  <w:num w:numId="15">
    <w:abstractNumId w:val="3"/>
  </w:num>
  <w:num w:numId="16">
    <w:abstractNumId w:val="15"/>
  </w:num>
  <w:num w:numId="17">
    <w:abstractNumId w:val="10"/>
  </w:num>
  <w:num w:numId="18">
    <w:abstractNumId w:val="8"/>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jA2MDYztDA0Mzc3MDNU0lEKTi0uzszPAykwNKgFALTfgmItAAAA"/>
  </w:docVars>
  <w:rsids>
    <w:rsidRoot w:val="00181732"/>
    <w:rsid w:val="00000FE6"/>
    <w:rsid w:val="0002243B"/>
    <w:rsid w:val="00023641"/>
    <w:rsid w:val="00036C22"/>
    <w:rsid w:val="00042EB8"/>
    <w:rsid w:val="000529DA"/>
    <w:rsid w:val="00071D64"/>
    <w:rsid w:val="000728BD"/>
    <w:rsid w:val="000768ED"/>
    <w:rsid w:val="0008388F"/>
    <w:rsid w:val="000A796B"/>
    <w:rsid w:val="000B3EDD"/>
    <w:rsid w:val="000D2AD4"/>
    <w:rsid w:val="000D4651"/>
    <w:rsid w:val="000D6C2F"/>
    <w:rsid w:val="000E1202"/>
    <w:rsid w:val="000E198C"/>
    <w:rsid w:val="000E2C0B"/>
    <w:rsid w:val="000E749F"/>
    <w:rsid w:val="001005A2"/>
    <w:rsid w:val="00100979"/>
    <w:rsid w:val="00113F6C"/>
    <w:rsid w:val="001176CA"/>
    <w:rsid w:val="00122673"/>
    <w:rsid w:val="00124DF3"/>
    <w:rsid w:val="0013149E"/>
    <w:rsid w:val="00131F49"/>
    <w:rsid w:val="00140A3B"/>
    <w:rsid w:val="001439E1"/>
    <w:rsid w:val="0015201C"/>
    <w:rsid w:val="00161732"/>
    <w:rsid w:val="001653E2"/>
    <w:rsid w:val="00167B62"/>
    <w:rsid w:val="00181732"/>
    <w:rsid w:val="001857C8"/>
    <w:rsid w:val="00197815"/>
    <w:rsid w:val="001B40B6"/>
    <w:rsid w:val="001C1F2C"/>
    <w:rsid w:val="001D5CB7"/>
    <w:rsid w:val="001E1C64"/>
    <w:rsid w:val="001F5CEF"/>
    <w:rsid w:val="001F66D5"/>
    <w:rsid w:val="00200885"/>
    <w:rsid w:val="00213025"/>
    <w:rsid w:val="00240810"/>
    <w:rsid w:val="00276F01"/>
    <w:rsid w:val="002803BF"/>
    <w:rsid w:val="00281516"/>
    <w:rsid w:val="002D0328"/>
    <w:rsid w:val="002D0BBA"/>
    <w:rsid w:val="002D1051"/>
    <w:rsid w:val="002D4393"/>
    <w:rsid w:val="0030320D"/>
    <w:rsid w:val="00332565"/>
    <w:rsid w:val="00333E45"/>
    <w:rsid w:val="00335F2B"/>
    <w:rsid w:val="003437A5"/>
    <w:rsid w:val="003445AD"/>
    <w:rsid w:val="00354ADB"/>
    <w:rsid w:val="0035728F"/>
    <w:rsid w:val="00362896"/>
    <w:rsid w:val="00366019"/>
    <w:rsid w:val="003746D6"/>
    <w:rsid w:val="00376A8B"/>
    <w:rsid w:val="003843D9"/>
    <w:rsid w:val="003B21CD"/>
    <w:rsid w:val="003D0939"/>
    <w:rsid w:val="003E5723"/>
    <w:rsid w:val="00402725"/>
    <w:rsid w:val="00407B6A"/>
    <w:rsid w:val="004119D2"/>
    <w:rsid w:val="00413A90"/>
    <w:rsid w:val="004368A9"/>
    <w:rsid w:val="00436AAC"/>
    <w:rsid w:val="00437E72"/>
    <w:rsid w:val="004506C9"/>
    <w:rsid w:val="00491D00"/>
    <w:rsid w:val="00495711"/>
    <w:rsid w:val="004A74B9"/>
    <w:rsid w:val="004D5F97"/>
    <w:rsid w:val="004E6054"/>
    <w:rsid w:val="004E7C05"/>
    <w:rsid w:val="004F3B8E"/>
    <w:rsid w:val="0050252A"/>
    <w:rsid w:val="00506FEA"/>
    <w:rsid w:val="00514B07"/>
    <w:rsid w:val="00514B8E"/>
    <w:rsid w:val="00521D59"/>
    <w:rsid w:val="00531ACF"/>
    <w:rsid w:val="005423DD"/>
    <w:rsid w:val="00545D85"/>
    <w:rsid w:val="00546678"/>
    <w:rsid w:val="005507B2"/>
    <w:rsid w:val="005562BD"/>
    <w:rsid w:val="00582608"/>
    <w:rsid w:val="00594F81"/>
    <w:rsid w:val="005C3755"/>
    <w:rsid w:val="005D0E9E"/>
    <w:rsid w:val="005E3111"/>
    <w:rsid w:val="005E398D"/>
    <w:rsid w:val="005E47FD"/>
    <w:rsid w:val="005F2191"/>
    <w:rsid w:val="005F3F68"/>
    <w:rsid w:val="00605585"/>
    <w:rsid w:val="00625F88"/>
    <w:rsid w:val="00644E7D"/>
    <w:rsid w:val="00647ED7"/>
    <w:rsid w:val="00661B17"/>
    <w:rsid w:val="0066233C"/>
    <w:rsid w:val="006645BA"/>
    <w:rsid w:val="00670774"/>
    <w:rsid w:val="006776F1"/>
    <w:rsid w:val="00686ECC"/>
    <w:rsid w:val="00692CE3"/>
    <w:rsid w:val="006E0735"/>
    <w:rsid w:val="006E44FF"/>
    <w:rsid w:val="006E4CEB"/>
    <w:rsid w:val="006F1D5A"/>
    <w:rsid w:val="00713467"/>
    <w:rsid w:val="00742672"/>
    <w:rsid w:val="007473AA"/>
    <w:rsid w:val="00747493"/>
    <w:rsid w:val="00753F21"/>
    <w:rsid w:val="00757450"/>
    <w:rsid w:val="00762FCB"/>
    <w:rsid w:val="00791751"/>
    <w:rsid w:val="007A14E8"/>
    <w:rsid w:val="007A2261"/>
    <w:rsid w:val="007A42F9"/>
    <w:rsid w:val="007B3B57"/>
    <w:rsid w:val="007B48BE"/>
    <w:rsid w:val="007C6342"/>
    <w:rsid w:val="007D37CE"/>
    <w:rsid w:val="007F231F"/>
    <w:rsid w:val="007F5863"/>
    <w:rsid w:val="00804F0B"/>
    <w:rsid w:val="00821C9F"/>
    <w:rsid w:val="00823808"/>
    <w:rsid w:val="008257CC"/>
    <w:rsid w:val="00834E75"/>
    <w:rsid w:val="008474CD"/>
    <w:rsid w:val="008623C1"/>
    <w:rsid w:val="00863B52"/>
    <w:rsid w:val="00874C38"/>
    <w:rsid w:val="00883550"/>
    <w:rsid w:val="008923B6"/>
    <w:rsid w:val="008935E3"/>
    <w:rsid w:val="008969DE"/>
    <w:rsid w:val="008A088D"/>
    <w:rsid w:val="008C2A42"/>
    <w:rsid w:val="008C7AA2"/>
    <w:rsid w:val="008F0458"/>
    <w:rsid w:val="008F139E"/>
    <w:rsid w:val="008F291F"/>
    <w:rsid w:val="00921522"/>
    <w:rsid w:val="009333F9"/>
    <w:rsid w:val="00937AB2"/>
    <w:rsid w:val="00944DC8"/>
    <w:rsid w:val="00945E4D"/>
    <w:rsid w:val="009727D6"/>
    <w:rsid w:val="009735A6"/>
    <w:rsid w:val="009905EA"/>
    <w:rsid w:val="00993E18"/>
    <w:rsid w:val="009A5462"/>
    <w:rsid w:val="009B396B"/>
    <w:rsid w:val="009C3249"/>
    <w:rsid w:val="009D21D3"/>
    <w:rsid w:val="009D4A10"/>
    <w:rsid w:val="009E6FF7"/>
    <w:rsid w:val="009F7D41"/>
    <w:rsid w:val="00A04338"/>
    <w:rsid w:val="00A12283"/>
    <w:rsid w:val="00A148C1"/>
    <w:rsid w:val="00A16BF0"/>
    <w:rsid w:val="00A348E2"/>
    <w:rsid w:val="00A4274C"/>
    <w:rsid w:val="00A501A0"/>
    <w:rsid w:val="00A83398"/>
    <w:rsid w:val="00A84E70"/>
    <w:rsid w:val="00AA05EB"/>
    <w:rsid w:val="00AA34FD"/>
    <w:rsid w:val="00AA4E6F"/>
    <w:rsid w:val="00AA728D"/>
    <w:rsid w:val="00AB09A7"/>
    <w:rsid w:val="00AB6DEC"/>
    <w:rsid w:val="00AC1770"/>
    <w:rsid w:val="00AD2683"/>
    <w:rsid w:val="00AD301F"/>
    <w:rsid w:val="00AD4474"/>
    <w:rsid w:val="00AE0919"/>
    <w:rsid w:val="00AE1C7B"/>
    <w:rsid w:val="00AE416C"/>
    <w:rsid w:val="00AF03C3"/>
    <w:rsid w:val="00AF0CE3"/>
    <w:rsid w:val="00AF6089"/>
    <w:rsid w:val="00B001F1"/>
    <w:rsid w:val="00B27CED"/>
    <w:rsid w:val="00B45F07"/>
    <w:rsid w:val="00B5150B"/>
    <w:rsid w:val="00B55917"/>
    <w:rsid w:val="00B67D64"/>
    <w:rsid w:val="00B85166"/>
    <w:rsid w:val="00B87EDB"/>
    <w:rsid w:val="00BD2536"/>
    <w:rsid w:val="00BD5F0D"/>
    <w:rsid w:val="00C002FE"/>
    <w:rsid w:val="00C01FB9"/>
    <w:rsid w:val="00C02E59"/>
    <w:rsid w:val="00C0357B"/>
    <w:rsid w:val="00C1413D"/>
    <w:rsid w:val="00C1557E"/>
    <w:rsid w:val="00C34182"/>
    <w:rsid w:val="00C5069E"/>
    <w:rsid w:val="00C552BD"/>
    <w:rsid w:val="00C64A67"/>
    <w:rsid w:val="00C678B4"/>
    <w:rsid w:val="00C67E4B"/>
    <w:rsid w:val="00C80CA8"/>
    <w:rsid w:val="00C82677"/>
    <w:rsid w:val="00C84688"/>
    <w:rsid w:val="00C942E4"/>
    <w:rsid w:val="00C9527E"/>
    <w:rsid w:val="00C96157"/>
    <w:rsid w:val="00CA1864"/>
    <w:rsid w:val="00CA35B3"/>
    <w:rsid w:val="00CC2935"/>
    <w:rsid w:val="00CE222D"/>
    <w:rsid w:val="00CF1978"/>
    <w:rsid w:val="00CF4F41"/>
    <w:rsid w:val="00D04896"/>
    <w:rsid w:val="00D101A0"/>
    <w:rsid w:val="00D31D4F"/>
    <w:rsid w:val="00D329ED"/>
    <w:rsid w:val="00D32C58"/>
    <w:rsid w:val="00D50887"/>
    <w:rsid w:val="00D52E63"/>
    <w:rsid w:val="00D5569B"/>
    <w:rsid w:val="00D55F6C"/>
    <w:rsid w:val="00D61E88"/>
    <w:rsid w:val="00D655FD"/>
    <w:rsid w:val="00DA6B57"/>
    <w:rsid w:val="00DB1DF2"/>
    <w:rsid w:val="00DB206D"/>
    <w:rsid w:val="00DD4F1C"/>
    <w:rsid w:val="00E06CFD"/>
    <w:rsid w:val="00E0700C"/>
    <w:rsid w:val="00E10027"/>
    <w:rsid w:val="00E12FA1"/>
    <w:rsid w:val="00E1393E"/>
    <w:rsid w:val="00E17955"/>
    <w:rsid w:val="00E32239"/>
    <w:rsid w:val="00E34765"/>
    <w:rsid w:val="00E41782"/>
    <w:rsid w:val="00E43938"/>
    <w:rsid w:val="00E5651F"/>
    <w:rsid w:val="00E83520"/>
    <w:rsid w:val="00E85574"/>
    <w:rsid w:val="00E87963"/>
    <w:rsid w:val="00E91228"/>
    <w:rsid w:val="00E91E50"/>
    <w:rsid w:val="00EA3E19"/>
    <w:rsid w:val="00EA4CEE"/>
    <w:rsid w:val="00EA76B4"/>
    <w:rsid w:val="00EB0FAE"/>
    <w:rsid w:val="00EB5283"/>
    <w:rsid w:val="00ED1360"/>
    <w:rsid w:val="00EE20AC"/>
    <w:rsid w:val="00EE4B85"/>
    <w:rsid w:val="00EE6F8A"/>
    <w:rsid w:val="00F037EA"/>
    <w:rsid w:val="00F04C07"/>
    <w:rsid w:val="00F105AC"/>
    <w:rsid w:val="00F23B80"/>
    <w:rsid w:val="00F264CF"/>
    <w:rsid w:val="00F4460A"/>
    <w:rsid w:val="00F52438"/>
    <w:rsid w:val="00F53CF3"/>
    <w:rsid w:val="00F579E9"/>
    <w:rsid w:val="00F60263"/>
    <w:rsid w:val="00F707D4"/>
    <w:rsid w:val="00F77E15"/>
    <w:rsid w:val="00F87770"/>
    <w:rsid w:val="00FA3399"/>
    <w:rsid w:val="00FB49AD"/>
    <w:rsid w:val="00FB4B0F"/>
    <w:rsid w:val="00FC4F1C"/>
    <w:rsid w:val="00FE6551"/>
    <w:rsid w:val="00FF2262"/>
    <w:rsid w:val="00FF7ED7"/>
  </w:rsids>
  <m:mathPr>
    <m:mathFont m:val="Cambria Math"/>
    <m:brkBin m:val="before"/>
    <m:brkBinSub m:val="--"/>
    <m:smallFrac m:val="0"/>
    <m:dispDef/>
    <m:lMargin m:val="0"/>
    <m:rMargin m:val="0"/>
    <m:defJc m:val="centerGroup"/>
    <m:wrapIndent m:val="1440"/>
    <m:intLim m:val="subSup"/>
    <m:naryLim m:val="undOvr"/>
  </m:mathPr>
  <w:themeFontLang w:val="lt-LT"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BDFAAB"/>
  <w15:docId w15:val="{CC00DE41-37FA-4C12-A1EB-43D15C55C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2E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817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81732"/>
    <w:pPr>
      <w:spacing w:after="0" w:line="240" w:lineRule="auto"/>
      <w:ind w:left="720"/>
    </w:pPr>
    <w:rPr>
      <w:rFonts w:ascii="Calibri" w:hAnsi="Calibri" w:cs="Calibri"/>
      <w:lang w:eastAsia="lt-LT"/>
    </w:rPr>
  </w:style>
  <w:style w:type="paragraph" w:styleId="NormalWeb">
    <w:name w:val="Normal (Web)"/>
    <w:basedOn w:val="Normal"/>
    <w:uiPriority w:val="99"/>
    <w:semiHidden/>
    <w:unhideWhenUsed/>
    <w:rsid w:val="00944DC8"/>
    <w:pPr>
      <w:spacing w:after="0" w:line="360" w:lineRule="atLeast"/>
    </w:pPr>
    <w:rPr>
      <w:rFonts w:ascii="Montserrat" w:eastAsia="Times New Roman" w:hAnsi="Montserrat" w:cs="Times New Roman"/>
      <w:color w:val="181717"/>
      <w:sz w:val="23"/>
      <w:szCs w:val="23"/>
      <w:lang w:eastAsia="lt-LT"/>
    </w:rPr>
  </w:style>
  <w:style w:type="character" w:styleId="Emphasis">
    <w:name w:val="Emphasis"/>
    <w:basedOn w:val="DefaultParagraphFont"/>
    <w:uiPriority w:val="20"/>
    <w:qFormat/>
    <w:rsid w:val="00944DC8"/>
    <w:rPr>
      <w:i/>
      <w:iCs/>
    </w:rPr>
  </w:style>
  <w:style w:type="character" w:styleId="Hyperlink">
    <w:name w:val="Hyperlink"/>
    <w:basedOn w:val="DefaultParagraphFont"/>
    <w:uiPriority w:val="99"/>
    <w:unhideWhenUsed/>
    <w:rsid w:val="00042EB8"/>
    <w:rPr>
      <w:color w:val="0563C1" w:themeColor="hyperlink"/>
      <w:u w:val="single"/>
    </w:rPr>
  </w:style>
  <w:style w:type="paragraph" w:styleId="BalloonText">
    <w:name w:val="Balloon Text"/>
    <w:basedOn w:val="Normal"/>
    <w:link w:val="BalloonTextChar"/>
    <w:uiPriority w:val="99"/>
    <w:semiHidden/>
    <w:unhideWhenUsed/>
    <w:rsid w:val="00F23B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3B80"/>
    <w:rPr>
      <w:rFonts w:ascii="Segoe UI" w:hAnsi="Segoe UI" w:cs="Segoe UI"/>
      <w:sz w:val="18"/>
      <w:szCs w:val="18"/>
    </w:rPr>
  </w:style>
  <w:style w:type="character" w:styleId="CommentReference">
    <w:name w:val="annotation reference"/>
    <w:basedOn w:val="DefaultParagraphFont"/>
    <w:uiPriority w:val="99"/>
    <w:semiHidden/>
    <w:unhideWhenUsed/>
    <w:rsid w:val="000728BD"/>
    <w:rPr>
      <w:sz w:val="16"/>
      <w:szCs w:val="16"/>
    </w:rPr>
  </w:style>
  <w:style w:type="paragraph" w:styleId="CommentText">
    <w:name w:val="annotation text"/>
    <w:basedOn w:val="Normal"/>
    <w:link w:val="CommentTextChar"/>
    <w:uiPriority w:val="99"/>
    <w:semiHidden/>
    <w:unhideWhenUsed/>
    <w:rsid w:val="000728BD"/>
    <w:pPr>
      <w:spacing w:line="240" w:lineRule="auto"/>
    </w:pPr>
    <w:rPr>
      <w:sz w:val="20"/>
      <w:szCs w:val="20"/>
    </w:rPr>
  </w:style>
  <w:style w:type="character" w:customStyle="1" w:styleId="CommentTextChar">
    <w:name w:val="Comment Text Char"/>
    <w:basedOn w:val="DefaultParagraphFont"/>
    <w:link w:val="CommentText"/>
    <w:uiPriority w:val="99"/>
    <w:semiHidden/>
    <w:rsid w:val="000728BD"/>
    <w:rPr>
      <w:sz w:val="20"/>
      <w:szCs w:val="20"/>
    </w:rPr>
  </w:style>
  <w:style w:type="paragraph" w:styleId="CommentSubject">
    <w:name w:val="annotation subject"/>
    <w:basedOn w:val="CommentText"/>
    <w:next w:val="CommentText"/>
    <w:link w:val="CommentSubjectChar"/>
    <w:uiPriority w:val="99"/>
    <w:semiHidden/>
    <w:unhideWhenUsed/>
    <w:rsid w:val="000728BD"/>
    <w:rPr>
      <w:b/>
      <w:bCs/>
    </w:rPr>
  </w:style>
  <w:style w:type="character" w:customStyle="1" w:styleId="CommentSubjectChar">
    <w:name w:val="Comment Subject Char"/>
    <w:basedOn w:val="CommentTextChar"/>
    <w:link w:val="CommentSubject"/>
    <w:uiPriority w:val="99"/>
    <w:semiHidden/>
    <w:rsid w:val="000728BD"/>
    <w:rPr>
      <w:b/>
      <w:bCs/>
      <w:sz w:val="20"/>
      <w:szCs w:val="20"/>
    </w:rPr>
  </w:style>
  <w:style w:type="character" w:styleId="FollowedHyperlink">
    <w:name w:val="FollowedHyperlink"/>
    <w:basedOn w:val="DefaultParagraphFont"/>
    <w:uiPriority w:val="99"/>
    <w:semiHidden/>
    <w:unhideWhenUsed/>
    <w:rsid w:val="00834E75"/>
    <w:rPr>
      <w:color w:val="954F72" w:themeColor="followedHyperlink"/>
      <w:u w:val="single"/>
    </w:rPr>
  </w:style>
  <w:style w:type="paragraph" w:styleId="Header">
    <w:name w:val="header"/>
    <w:basedOn w:val="Normal"/>
    <w:link w:val="HeaderChar"/>
    <w:uiPriority w:val="99"/>
    <w:unhideWhenUsed/>
    <w:rsid w:val="00407B6A"/>
    <w:pPr>
      <w:tabs>
        <w:tab w:val="center" w:pos="4986"/>
        <w:tab w:val="right" w:pos="9972"/>
      </w:tabs>
      <w:spacing w:after="0" w:line="240" w:lineRule="auto"/>
    </w:pPr>
  </w:style>
  <w:style w:type="character" w:customStyle="1" w:styleId="HeaderChar">
    <w:name w:val="Header Char"/>
    <w:basedOn w:val="DefaultParagraphFont"/>
    <w:link w:val="Header"/>
    <w:uiPriority w:val="99"/>
    <w:rsid w:val="00407B6A"/>
  </w:style>
  <w:style w:type="paragraph" w:styleId="Footer">
    <w:name w:val="footer"/>
    <w:basedOn w:val="Normal"/>
    <w:link w:val="FooterChar"/>
    <w:uiPriority w:val="99"/>
    <w:unhideWhenUsed/>
    <w:rsid w:val="00407B6A"/>
    <w:pPr>
      <w:tabs>
        <w:tab w:val="center" w:pos="4986"/>
        <w:tab w:val="right" w:pos="9972"/>
      </w:tabs>
      <w:spacing w:after="0" w:line="240" w:lineRule="auto"/>
    </w:pPr>
  </w:style>
  <w:style w:type="character" w:customStyle="1" w:styleId="FooterChar">
    <w:name w:val="Footer Char"/>
    <w:basedOn w:val="DefaultParagraphFont"/>
    <w:link w:val="Footer"/>
    <w:uiPriority w:val="99"/>
    <w:rsid w:val="00407B6A"/>
  </w:style>
  <w:style w:type="paragraph" w:customStyle="1" w:styleId="Default">
    <w:name w:val="Default"/>
    <w:rsid w:val="00791751"/>
    <w:pPr>
      <w:autoSpaceDE w:val="0"/>
      <w:autoSpaceDN w:val="0"/>
      <w:adjustRightInd w:val="0"/>
      <w:spacing w:after="0" w:line="240" w:lineRule="auto"/>
    </w:pPr>
    <w:rPr>
      <w:rFonts w:ascii="Calibri" w:hAnsi="Calibri" w:cs="Calibri"/>
      <w:color w:val="000000"/>
      <w:sz w:val="24"/>
      <w:szCs w:val="24"/>
    </w:rPr>
  </w:style>
  <w:style w:type="character" w:styleId="FootnoteReference">
    <w:name w:val="footnote reference"/>
    <w:uiPriority w:val="99"/>
    <w:semiHidden/>
    <w:unhideWhenUsed/>
    <w:rsid w:val="007B3B57"/>
    <w:rPr>
      <w:vertAlign w:val="superscript"/>
    </w:rPr>
  </w:style>
  <w:style w:type="paragraph" w:styleId="FootnoteText">
    <w:name w:val="footnote text"/>
    <w:basedOn w:val="Normal"/>
    <w:link w:val="FootnoteTextChar"/>
    <w:uiPriority w:val="99"/>
    <w:semiHidden/>
    <w:unhideWhenUsed/>
    <w:rsid w:val="00B55917"/>
    <w:pPr>
      <w:spacing w:after="0" w:line="240" w:lineRule="auto"/>
    </w:pPr>
    <w:rPr>
      <w:rFonts w:ascii="Times New Roman" w:eastAsia="Calibri" w:hAnsi="Times New Roman" w:cs="Times New Roman"/>
      <w:sz w:val="20"/>
      <w:szCs w:val="20"/>
      <w:lang w:val="en-GB" w:eastAsia="en-GB"/>
    </w:rPr>
  </w:style>
  <w:style w:type="character" w:customStyle="1" w:styleId="FootnoteTextChar">
    <w:name w:val="Footnote Text Char"/>
    <w:basedOn w:val="DefaultParagraphFont"/>
    <w:link w:val="FootnoteText"/>
    <w:uiPriority w:val="99"/>
    <w:semiHidden/>
    <w:rsid w:val="00B55917"/>
    <w:rPr>
      <w:rFonts w:ascii="Times New Roman" w:eastAsia="Calibri" w:hAnsi="Times New Roman" w:cs="Times New Roman"/>
      <w:sz w:val="20"/>
      <w:szCs w:val="20"/>
      <w:lang w:val="en-GB" w:eastAsia="en-GB"/>
    </w:rPr>
  </w:style>
  <w:style w:type="character" w:customStyle="1" w:styleId="UnresolvedMention1">
    <w:name w:val="Unresolved Mention1"/>
    <w:basedOn w:val="DefaultParagraphFont"/>
    <w:uiPriority w:val="99"/>
    <w:semiHidden/>
    <w:unhideWhenUsed/>
    <w:rsid w:val="00AA34FD"/>
    <w:rPr>
      <w:color w:val="605E5C"/>
      <w:shd w:val="clear" w:color="auto" w:fill="E1DFDD"/>
    </w:rPr>
  </w:style>
  <w:style w:type="character" w:customStyle="1" w:styleId="UnresolvedMention2">
    <w:name w:val="Unresolved Mention2"/>
    <w:basedOn w:val="DefaultParagraphFont"/>
    <w:uiPriority w:val="99"/>
    <w:semiHidden/>
    <w:unhideWhenUsed/>
    <w:rsid w:val="00240810"/>
    <w:rPr>
      <w:color w:val="605E5C"/>
      <w:shd w:val="clear" w:color="auto" w:fill="E1DFDD"/>
    </w:rPr>
  </w:style>
  <w:style w:type="character" w:customStyle="1" w:styleId="UnresolvedMention3">
    <w:name w:val="Unresolved Mention3"/>
    <w:basedOn w:val="DefaultParagraphFont"/>
    <w:uiPriority w:val="99"/>
    <w:semiHidden/>
    <w:unhideWhenUsed/>
    <w:rsid w:val="00FB49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9313222">
      <w:bodyDiv w:val="1"/>
      <w:marLeft w:val="0"/>
      <w:marRight w:val="0"/>
      <w:marTop w:val="0"/>
      <w:marBottom w:val="0"/>
      <w:divBdr>
        <w:top w:val="none" w:sz="0" w:space="0" w:color="auto"/>
        <w:left w:val="none" w:sz="0" w:space="0" w:color="auto"/>
        <w:bottom w:val="none" w:sz="0" w:space="0" w:color="auto"/>
        <w:right w:val="none" w:sz="0" w:space="0" w:color="auto"/>
      </w:divBdr>
    </w:div>
    <w:div w:id="727612213">
      <w:bodyDiv w:val="1"/>
      <w:marLeft w:val="0"/>
      <w:marRight w:val="0"/>
      <w:marTop w:val="0"/>
      <w:marBottom w:val="0"/>
      <w:divBdr>
        <w:top w:val="none" w:sz="0" w:space="0" w:color="auto"/>
        <w:left w:val="none" w:sz="0" w:space="0" w:color="auto"/>
        <w:bottom w:val="none" w:sz="0" w:space="0" w:color="auto"/>
        <w:right w:val="none" w:sz="0" w:space="0" w:color="auto"/>
      </w:divBdr>
      <w:divsChild>
        <w:div w:id="1345477186">
          <w:marLeft w:val="0"/>
          <w:marRight w:val="0"/>
          <w:marTop w:val="0"/>
          <w:marBottom w:val="0"/>
          <w:divBdr>
            <w:top w:val="none" w:sz="0" w:space="0" w:color="auto"/>
            <w:left w:val="none" w:sz="0" w:space="0" w:color="auto"/>
            <w:bottom w:val="none" w:sz="0" w:space="0" w:color="auto"/>
            <w:right w:val="none" w:sz="0" w:space="0" w:color="auto"/>
          </w:divBdr>
          <w:divsChild>
            <w:div w:id="198581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493335">
      <w:bodyDiv w:val="1"/>
      <w:marLeft w:val="0"/>
      <w:marRight w:val="0"/>
      <w:marTop w:val="0"/>
      <w:marBottom w:val="0"/>
      <w:divBdr>
        <w:top w:val="none" w:sz="0" w:space="0" w:color="auto"/>
        <w:left w:val="none" w:sz="0" w:space="0" w:color="auto"/>
        <w:bottom w:val="none" w:sz="0" w:space="0" w:color="auto"/>
        <w:right w:val="none" w:sz="0" w:space="0" w:color="auto"/>
      </w:divBdr>
      <w:divsChild>
        <w:div w:id="2113208569">
          <w:marLeft w:val="0"/>
          <w:marRight w:val="0"/>
          <w:marTop w:val="0"/>
          <w:marBottom w:val="0"/>
          <w:divBdr>
            <w:top w:val="none" w:sz="0" w:space="0" w:color="auto"/>
            <w:left w:val="none" w:sz="0" w:space="0" w:color="auto"/>
            <w:bottom w:val="none" w:sz="0" w:space="0" w:color="auto"/>
            <w:right w:val="none" w:sz="0" w:space="0" w:color="auto"/>
          </w:divBdr>
          <w:divsChild>
            <w:div w:id="188267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095420">
      <w:bodyDiv w:val="1"/>
      <w:marLeft w:val="0"/>
      <w:marRight w:val="0"/>
      <w:marTop w:val="0"/>
      <w:marBottom w:val="0"/>
      <w:divBdr>
        <w:top w:val="none" w:sz="0" w:space="0" w:color="auto"/>
        <w:left w:val="none" w:sz="0" w:space="0" w:color="auto"/>
        <w:bottom w:val="none" w:sz="0" w:space="0" w:color="auto"/>
        <w:right w:val="none" w:sz="0" w:space="0" w:color="auto"/>
      </w:divBdr>
    </w:div>
    <w:div w:id="1492675787">
      <w:bodyDiv w:val="1"/>
      <w:marLeft w:val="0"/>
      <w:marRight w:val="0"/>
      <w:marTop w:val="0"/>
      <w:marBottom w:val="0"/>
      <w:divBdr>
        <w:top w:val="none" w:sz="0" w:space="0" w:color="auto"/>
        <w:left w:val="none" w:sz="0" w:space="0" w:color="auto"/>
        <w:bottom w:val="none" w:sz="0" w:space="0" w:color="auto"/>
        <w:right w:val="none" w:sz="0" w:space="0" w:color="auto"/>
      </w:divBdr>
      <w:divsChild>
        <w:div w:id="40978656">
          <w:marLeft w:val="0"/>
          <w:marRight w:val="0"/>
          <w:marTop w:val="0"/>
          <w:marBottom w:val="0"/>
          <w:divBdr>
            <w:top w:val="none" w:sz="0" w:space="0" w:color="auto"/>
            <w:left w:val="none" w:sz="0" w:space="0" w:color="auto"/>
            <w:bottom w:val="none" w:sz="0" w:space="0" w:color="auto"/>
            <w:right w:val="none" w:sz="0" w:space="0" w:color="auto"/>
          </w:divBdr>
          <w:divsChild>
            <w:div w:id="7343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823520">
      <w:bodyDiv w:val="1"/>
      <w:marLeft w:val="0"/>
      <w:marRight w:val="0"/>
      <w:marTop w:val="0"/>
      <w:marBottom w:val="0"/>
      <w:divBdr>
        <w:top w:val="none" w:sz="0" w:space="0" w:color="auto"/>
        <w:left w:val="none" w:sz="0" w:space="0" w:color="auto"/>
        <w:bottom w:val="none" w:sz="0" w:space="0" w:color="auto"/>
        <w:right w:val="none" w:sz="0" w:space="0" w:color="auto"/>
      </w:divBdr>
    </w:div>
    <w:div w:id="1617518657">
      <w:bodyDiv w:val="1"/>
      <w:marLeft w:val="0"/>
      <w:marRight w:val="0"/>
      <w:marTop w:val="0"/>
      <w:marBottom w:val="0"/>
      <w:divBdr>
        <w:top w:val="none" w:sz="0" w:space="0" w:color="auto"/>
        <w:left w:val="none" w:sz="0" w:space="0" w:color="auto"/>
        <w:bottom w:val="none" w:sz="0" w:space="0" w:color="auto"/>
        <w:right w:val="none" w:sz="0" w:space="0" w:color="auto"/>
      </w:divBdr>
    </w:div>
    <w:div w:id="1750619951">
      <w:bodyDiv w:val="1"/>
      <w:marLeft w:val="0"/>
      <w:marRight w:val="0"/>
      <w:marTop w:val="0"/>
      <w:marBottom w:val="0"/>
      <w:divBdr>
        <w:top w:val="none" w:sz="0" w:space="0" w:color="auto"/>
        <w:left w:val="none" w:sz="0" w:space="0" w:color="auto"/>
        <w:bottom w:val="none" w:sz="0" w:space="0" w:color="auto"/>
        <w:right w:val="none" w:sz="0" w:space="0" w:color="auto"/>
      </w:divBdr>
    </w:div>
    <w:div w:id="1770735527">
      <w:bodyDiv w:val="1"/>
      <w:marLeft w:val="0"/>
      <w:marRight w:val="0"/>
      <w:marTop w:val="0"/>
      <w:marBottom w:val="0"/>
      <w:divBdr>
        <w:top w:val="none" w:sz="0" w:space="0" w:color="auto"/>
        <w:left w:val="none" w:sz="0" w:space="0" w:color="auto"/>
        <w:bottom w:val="none" w:sz="0" w:space="0" w:color="auto"/>
        <w:right w:val="none" w:sz="0" w:space="0" w:color="auto"/>
      </w:divBdr>
    </w:div>
    <w:div w:id="1850486262">
      <w:bodyDiv w:val="1"/>
      <w:marLeft w:val="0"/>
      <w:marRight w:val="0"/>
      <w:marTop w:val="0"/>
      <w:marBottom w:val="0"/>
      <w:divBdr>
        <w:top w:val="none" w:sz="0" w:space="0" w:color="auto"/>
        <w:left w:val="none" w:sz="0" w:space="0" w:color="auto"/>
        <w:bottom w:val="none" w:sz="0" w:space="0" w:color="auto"/>
        <w:right w:val="none" w:sz="0" w:space="0" w:color="auto"/>
      </w:divBdr>
    </w:div>
    <w:div w:id="1880631198">
      <w:bodyDiv w:val="1"/>
      <w:marLeft w:val="0"/>
      <w:marRight w:val="0"/>
      <w:marTop w:val="0"/>
      <w:marBottom w:val="0"/>
      <w:divBdr>
        <w:top w:val="none" w:sz="0" w:space="0" w:color="auto"/>
        <w:left w:val="none" w:sz="0" w:space="0" w:color="auto"/>
        <w:bottom w:val="none" w:sz="0" w:space="0" w:color="auto"/>
        <w:right w:val="none" w:sz="0" w:space="0" w:color="auto"/>
      </w:divBdr>
    </w:div>
    <w:div w:id="1987315912">
      <w:bodyDiv w:val="1"/>
      <w:marLeft w:val="0"/>
      <w:marRight w:val="0"/>
      <w:marTop w:val="0"/>
      <w:marBottom w:val="0"/>
      <w:divBdr>
        <w:top w:val="none" w:sz="0" w:space="0" w:color="auto"/>
        <w:left w:val="none" w:sz="0" w:space="0" w:color="auto"/>
        <w:bottom w:val="none" w:sz="0" w:space="0" w:color="auto"/>
        <w:right w:val="none" w:sz="0" w:space="0" w:color="auto"/>
      </w:divBdr>
    </w:div>
    <w:div w:id="2073388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cc.lt/lt/" TargetMode="External"/><Relationship Id="rId13" Type="http://schemas.openxmlformats.org/officeDocument/2006/relationships/hyperlink" Target="https://ec.europa.eu/commission/presscorner/detail/en/ip_20_485"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keliauk.urm.lt/"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ec.europa.eu/programmes/erasmus-plus/news/corona-virus-consequences-erasmus-and-european-solidarity-corps-mobility-activities_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open.europa.eu/en" TargetMode="External"/><Relationship Id="rId5" Type="http://schemas.openxmlformats.org/officeDocument/2006/relationships/webSettings" Target="webSettings.xml"/><Relationship Id="rId15" Type="http://schemas.openxmlformats.org/officeDocument/2006/relationships/hyperlink" Target="https://ec.europa.eu/health/coronavirus_en" TargetMode="External"/><Relationship Id="rId10" Type="http://schemas.openxmlformats.org/officeDocument/2006/relationships/hyperlink" Target="https://reopen.europa.eu/e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ebgate.ec.europa.eu/fpfis/wikis/pages/viewpage.action?pageId=463703403" TargetMode="External"/><Relationship Id="rId14" Type="http://schemas.openxmlformats.org/officeDocument/2006/relationships/hyperlink" Target="https://www.ecdc.europa.eu/en/geographical-distribution-2019-ncov-ca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25B791-DE67-4F3A-9F5C-1D7101C9F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9663</Words>
  <Characters>5508</Characters>
  <Application>Microsoft Office Word</Application>
  <DocSecurity>0</DocSecurity>
  <Lines>45</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Augustė Jalinskaitė</dc:creator>
  <cp:keywords/>
  <dc:description/>
  <cp:lastModifiedBy>Vaiva Ružaitė</cp:lastModifiedBy>
  <cp:revision>2</cp:revision>
  <cp:lastPrinted>2020-10-27T13:31:00Z</cp:lastPrinted>
  <dcterms:created xsi:type="dcterms:W3CDTF">2020-11-04T08:13:00Z</dcterms:created>
  <dcterms:modified xsi:type="dcterms:W3CDTF">2020-11-04T08:13:00Z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-161399874</vt:i4>
  </property>
</Properties>
</file>