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98B1" w14:textId="32361DAE" w:rsidR="00B41B8D" w:rsidRPr="00C70F17" w:rsidRDefault="00646769" w:rsidP="00E96C07">
      <w:pPr>
        <w:jc w:val="right"/>
        <w:rPr>
          <w:sz w:val="20"/>
        </w:rPr>
      </w:pPr>
      <w:r>
        <w:rPr>
          <w:sz w:val="20"/>
        </w:rPr>
        <w:t>1 priedas</w:t>
      </w:r>
    </w:p>
    <w:p w14:paraId="3951724D" w14:textId="77777777" w:rsidR="00B41B8D" w:rsidRDefault="00B41B8D">
      <w:pPr>
        <w:pStyle w:val="BodyText"/>
        <w:rPr>
          <w:b/>
          <w:sz w:val="20"/>
        </w:rPr>
      </w:pPr>
    </w:p>
    <w:p w14:paraId="049AD010" w14:textId="77777777" w:rsidR="00B41B8D" w:rsidRDefault="00B41B8D">
      <w:pPr>
        <w:pStyle w:val="BodyText"/>
        <w:spacing w:before="7"/>
        <w:rPr>
          <w:b/>
          <w:sz w:val="15"/>
        </w:rPr>
      </w:pPr>
    </w:p>
    <w:p w14:paraId="422CB25B" w14:textId="5A21CB88" w:rsidR="00B41B8D" w:rsidRDefault="004856EB" w:rsidP="004315AF">
      <w:pPr>
        <w:pStyle w:val="Heading1"/>
        <w:spacing w:before="1"/>
        <w:ind w:right="228"/>
        <w:jc w:val="center"/>
        <w:rPr>
          <w:b w:val="0"/>
        </w:rPr>
      </w:pPr>
      <w:r>
        <w:t xml:space="preserve">2021 M. </w:t>
      </w:r>
      <w:r w:rsidR="009B57C6">
        <w:t>LĖŠŲ, SKIRTŲ „ERASMUS+“ AUKŠTŲJŲ MOKYKLŲ STUDENTŲ IR DARBUOTOJŲ MOBILUMUI, PASKIRSTYMO DALYVAUJANČIOMS INSTITUCIJOMS KRITERIJAI</w:t>
      </w:r>
      <w:r w:rsidR="004315AF">
        <w:t xml:space="preserve"> </w:t>
      </w:r>
    </w:p>
    <w:p w14:paraId="47C31DE8" w14:textId="77777777" w:rsidR="00B41B8D" w:rsidRDefault="00B41B8D">
      <w:pPr>
        <w:pStyle w:val="BodyText"/>
        <w:spacing w:before="9"/>
        <w:rPr>
          <w:b/>
          <w:sz w:val="35"/>
        </w:rPr>
      </w:pPr>
    </w:p>
    <w:p w14:paraId="235F26BF" w14:textId="05E09B83" w:rsidR="00B41B8D" w:rsidRPr="00E96C07" w:rsidRDefault="009B57C6" w:rsidP="0009100A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ind w:right="114" w:hanging="284"/>
        <w:rPr>
          <w:sz w:val="24"/>
        </w:rPr>
      </w:pPr>
      <w:r w:rsidRPr="009135F6">
        <w:rPr>
          <w:sz w:val="24"/>
        </w:rPr>
        <w:t>„</w:t>
      </w:r>
      <w:r w:rsidRPr="00E96C07">
        <w:rPr>
          <w:sz w:val="24"/>
        </w:rPr>
        <w:t xml:space="preserve">Erasmus+“ aukštųjų mokyklų studentų ir darbuotojų mobilumui skiriamų lėšų paskirstymo metodika remiasi </w:t>
      </w:r>
      <w:r w:rsidR="00067C10">
        <w:rPr>
          <w:sz w:val="24"/>
        </w:rPr>
        <w:t>2017</w:t>
      </w:r>
      <w:r w:rsidR="00067C10" w:rsidRPr="004772C7">
        <w:rPr>
          <w:sz w:val="24"/>
        </w:rPr>
        <w:t>–</w:t>
      </w:r>
      <w:r w:rsidR="00067C10">
        <w:rPr>
          <w:sz w:val="24"/>
        </w:rPr>
        <w:t>2018 ir 2018</w:t>
      </w:r>
      <w:r w:rsidR="00067C10" w:rsidRPr="004772C7">
        <w:rPr>
          <w:sz w:val="24"/>
        </w:rPr>
        <w:t>–</w:t>
      </w:r>
      <w:bookmarkStart w:id="0" w:name="_GoBack"/>
      <w:bookmarkEnd w:id="0"/>
      <w:r w:rsidR="00D93D52" w:rsidRPr="00E96C07">
        <w:rPr>
          <w:sz w:val="24"/>
        </w:rPr>
        <w:t xml:space="preserve">2019 </w:t>
      </w:r>
      <w:r w:rsidR="00F44F6D" w:rsidRPr="00E96C07">
        <w:rPr>
          <w:sz w:val="24"/>
        </w:rPr>
        <w:t>m</w:t>
      </w:r>
      <w:r w:rsidR="00E96C07">
        <w:rPr>
          <w:sz w:val="24"/>
        </w:rPr>
        <w:t>.</w:t>
      </w:r>
      <w:r w:rsidR="00F44F6D" w:rsidRPr="00E96C07">
        <w:rPr>
          <w:sz w:val="24"/>
        </w:rPr>
        <w:t xml:space="preserve"> </w:t>
      </w:r>
      <w:r w:rsidRPr="00E96C07">
        <w:rPr>
          <w:sz w:val="24"/>
        </w:rPr>
        <w:t>m</w:t>
      </w:r>
      <w:r w:rsidR="00E96C07">
        <w:rPr>
          <w:sz w:val="24"/>
        </w:rPr>
        <w:t>.</w:t>
      </w:r>
      <w:r w:rsidRPr="00E96C07">
        <w:rPr>
          <w:sz w:val="24"/>
        </w:rPr>
        <w:t xml:space="preserve"> mobilumo rezultatais</w:t>
      </w:r>
      <w:r w:rsidR="00067C10">
        <w:rPr>
          <w:sz w:val="24"/>
        </w:rPr>
        <w:t>,</w:t>
      </w:r>
      <w:r w:rsidRPr="00E96C07">
        <w:rPr>
          <w:sz w:val="24"/>
        </w:rPr>
        <w:t xml:space="preserve"> deklaruotais „Mobility </w:t>
      </w:r>
      <w:proofErr w:type="spellStart"/>
      <w:r w:rsidRPr="00E96C07">
        <w:rPr>
          <w:sz w:val="24"/>
        </w:rPr>
        <w:t>Tool</w:t>
      </w:r>
      <w:proofErr w:type="spellEnd"/>
      <w:r w:rsidRPr="00E96C07">
        <w:rPr>
          <w:sz w:val="24"/>
        </w:rPr>
        <w:t>+“ sistemoje</w:t>
      </w:r>
      <w:r w:rsidR="00067C10">
        <w:rPr>
          <w:sz w:val="24"/>
        </w:rPr>
        <w:t>,</w:t>
      </w:r>
      <w:r w:rsidRPr="00E96C07">
        <w:rPr>
          <w:sz w:val="24"/>
        </w:rPr>
        <w:t xml:space="preserve"> bei Nacionalinės švietimo agentūros pateiktais statistiniais</w:t>
      </w:r>
      <w:r w:rsidRPr="00E96C07">
        <w:rPr>
          <w:spacing w:val="-12"/>
          <w:sz w:val="24"/>
        </w:rPr>
        <w:t xml:space="preserve"> </w:t>
      </w:r>
      <w:r w:rsidRPr="00E96C07">
        <w:rPr>
          <w:sz w:val="24"/>
        </w:rPr>
        <w:t>duomenimis.</w:t>
      </w:r>
    </w:p>
    <w:p w14:paraId="145E4295" w14:textId="0839BF61" w:rsidR="00B41B8D" w:rsidRPr="00E96C07" w:rsidRDefault="009B57C6" w:rsidP="0009100A">
      <w:pPr>
        <w:pStyle w:val="ListParagraph"/>
        <w:numPr>
          <w:ilvl w:val="0"/>
          <w:numId w:val="1"/>
        </w:numPr>
        <w:tabs>
          <w:tab w:val="left" w:pos="493"/>
        </w:tabs>
        <w:spacing w:before="2" w:line="360" w:lineRule="auto"/>
        <w:ind w:left="501" w:right="108" w:hanging="279"/>
        <w:rPr>
          <w:sz w:val="24"/>
        </w:rPr>
      </w:pPr>
      <w:r w:rsidRPr="00E96C07">
        <w:rPr>
          <w:sz w:val="24"/>
        </w:rPr>
        <w:t xml:space="preserve">Lėšos mokslo ir studijų institucijoms bei aukštojo mokslo konsorciumams (toliau – institucijos), kurios programoje dalyvauja pirmus metus, skiriamos atsižvelgiant į institucijos </w:t>
      </w:r>
      <w:r w:rsidRPr="00E96C07">
        <w:rPr>
          <w:i/>
          <w:sz w:val="24"/>
        </w:rPr>
        <w:t>siųstinų studentų</w:t>
      </w:r>
      <w:r w:rsidRPr="00E96C07">
        <w:rPr>
          <w:sz w:val="24"/>
          <w:vertAlign w:val="superscript"/>
        </w:rPr>
        <w:t>1</w:t>
      </w:r>
      <w:r w:rsidRPr="00E96C07">
        <w:rPr>
          <w:sz w:val="24"/>
        </w:rPr>
        <w:t xml:space="preserve"> skaičių: skiriama </w:t>
      </w:r>
      <w:r w:rsidRPr="00E96C07">
        <w:rPr>
          <w:b/>
          <w:sz w:val="24"/>
        </w:rPr>
        <w:t xml:space="preserve">ne daugiau </w:t>
      </w:r>
      <w:r w:rsidR="00E96C07" w:rsidRPr="00E96C07">
        <w:rPr>
          <w:b/>
          <w:sz w:val="24"/>
        </w:rPr>
        <w:t xml:space="preserve">kaip </w:t>
      </w:r>
      <w:r w:rsidRPr="00E96C07">
        <w:rPr>
          <w:b/>
          <w:sz w:val="24"/>
        </w:rPr>
        <w:t>3 proc.</w:t>
      </w:r>
      <w:r w:rsidRPr="00E96C07">
        <w:rPr>
          <w:sz w:val="24"/>
        </w:rPr>
        <w:t xml:space="preserve"> institucijos </w:t>
      </w:r>
      <w:r w:rsidRPr="00E96C07">
        <w:rPr>
          <w:i/>
          <w:sz w:val="24"/>
        </w:rPr>
        <w:t xml:space="preserve">siųstinų studentų </w:t>
      </w:r>
      <w:r w:rsidRPr="00E96C07">
        <w:rPr>
          <w:sz w:val="24"/>
        </w:rPr>
        <w:t>skaičiaus ir neviršijant institucijos „Erasmus+“ aukštųjų mokyklų studentų ir darbuotojų mobilumo KA131 veiklos elektroninėje paraiškoje, teiktoje Europos Komisijos „Erasmus+“ paraiškų teikimo</w:t>
      </w:r>
      <w:r w:rsidRPr="00E96C07">
        <w:rPr>
          <w:spacing w:val="-12"/>
          <w:sz w:val="24"/>
        </w:rPr>
        <w:t xml:space="preserve"> </w:t>
      </w:r>
      <w:r w:rsidRPr="00E96C07">
        <w:rPr>
          <w:sz w:val="24"/>
        </w:rPr>
        <w:t>sistemoje</w:t>
      </w:r>
      <w:r w:rsidRPr="00E96C07">
        <w:rPr>
          <w:spacing w:val="-10"/>
          <w:sz w:val="24"/>
        </w:rPr>
        <w:t xml:space="preserve"> </w:t>
      </w:r>
      <w:r w:rsidRPr="00E96C07">
        <w:rPr>
          <w:sz w:val="24"/>
        </w:rPr>
        <w:t>(toliau</w:t>
      </w:r>
      <w:r w:rsidRPr="00E96C07">
        <w:rPr>
          <w:spacing w:val="-10"/>
          <w:sz w:val="24"/>
        </w:rPr>
        <w:t xml:space="preserve"> </w:t>
      </w:r>
      <w:r w:rsidRPr="00E96C07">
        <w:rPr>
          <w:sz w:val="24"/>
        </w:rPr>
        <w:t>–</w:t>
      </w:r>
      <w:r w:rsidRPr="00E96C07">
        <w:rPr>
          <w:spacing w:val="-5"/>
          <w:sz w:val="24"/>
        </w:rPr>
        <w:t xml:space="preserve"> </w:t>
      </w:r>
      <w:r w:rsidRPr="00E96C07">
        <w:rPr>
          <w:sz w:val="24"/>
        </w:rPr>
        <w:t>institucijų</w:t>
      </w:r>
      <w:r w:rsidRPr="00E96C07">
        <w:rPr>
          <w:spacing w:val="-7"/>
          <w:sz w:val="24"/>
        </w:rPr>
        <w:t xml:space="preserve"> </w:t>
      </w:r>
      <w:r w:rsidRPr="00E96C07">
        <w:rPr>
          <w:sz w:val="24"/>
        </w:rPr>
        <w:t>paraiškose)</w:t>
      </w:r>
      <w:r w:rsidRPr="00E96C07">
        <w:rPr>
          <w:spacing w:val="-11"/>
          <w:sz w:val="24"/>
        </w:rPr>
        <w:t xml:space="preserve"> </w:t>
      </w:r>
      <w:r w:rsidRPr="00E96C07">
        <w:rPr>
          <w:sz w:val="24"/>
        </w:rPr>
        <w:t>nurodyto</w:t>
      </w:r>
      <w:r w:rsidRPr="00E96C07">
        <w:rPr>
          <w:spacing w:val="-8"/>
          <w:sz w:val="24"/>
        </w:rPr>
        <w:t xml:space="preserve"> </w:t>
      </w:r>
      <w:r w:rsidRPr="00E96C07">
        <w:rPr>
          <w:sz w:val="24"/>
        </w:rPr>
        <w:t>poreikio;</w:t>
      </w:r>
      <w:r w:rsidRPr="00E96C07">
        <w:rPr>
          <w:spacing w:val="-12"/>
          <w:sz w:val="24"/>
        </w:rPr>
        <w:t xml:space="preserve"> </w:t>
      </w:r>
      <w:r w:rsidRPr="00E96C07">
        <w:rPr>
          <w:sz w:val="24"/>
        </w:rPr>
        <w:t>darbuotojų</w:t>
      </w:r>
      <w:r w:rsidRPr="00E96C07">
        <w:rPr>
          <w:spacing w:val="-12"/>
          <w:sz w:val="24"/>
        </w:rPr>
        <w:t xml:space="preserve"> </w:t>
      </w:r>
      <w:r w:rsidRPr="00E96C07">
        <w:rPr>
          <w:sz w:val="24"/>
        </w:rPr>
        <w:t>mobilumui</w:t>
      </w:r>
      <w:r w:rsidRPr="00E96C07">
        <w:rPr>
          <w:spacing w:val="-2"/>
          <w:sz w:val="24"/>
        </w:rPr>
        <w:t xml:space="preserve"> </w:t>
      </w:r>
      <w:r w:rsidRPr="00E96C07">
        <w:rPr>
          <w:sz w:val="24"/>
        </w:rPr>
        <w:t>–</w:t>
      </w:r>
      <w:r w:rsidRPr="00E96C07">
        <w:rPr>
          <w:spacing w:val="-10"/>
          <w:sz w:val="24"/>
        </w:rPr>
        <w:t xml:space="preserve"> </w:t>
      </w:r>
      <w:r w:rsidRPr="00E96C07">
        <w:rPr>
          <w:b/>
          <w:sz w:val="24"/>
        </w:rPr>
        <w:t xml:space="preserve">ne daugiau </w:t>
      </w:r>
      <w:r w:rsidR="00E96C07" w:rsidRPr="00E96C07">
        <w:rPr>
          <w:b/>
          <w:sz w:val="24"/>
        </w:rPr>
        <w:t xml:space="preserve">kaip </w:t>
      </w:r>
      <w:r w:rsidRPr="00E96C07">
        <w:rPr>
          <w:b/>
          <w:sz w:val="24"/>
        </w:rPr>
        <w:t>80 proc.</w:t>
      </w:r>
      <w:r w:rsidRPr="00E96C07">
        <w:rPr>
          <w:sz w:val="24"/>
        </w:rPr>
        <w:t xml:space="preserve"> institucijos paraiškoje nurodyto</w:t>
      </w:r>
      <w:r w:rsidRPr="00E96C07">
        <w:rPr>
          <w:spacing w:val="-3"/>
          <w:sz w:val="24"/>
        </w:rPr>
        <w:t xml:space="preserve"> </w:t>
      </w:r>
      <w:r w:rsidRPr="00E96C07">
        <w:rPr>
          <w:sz w:val="24"/>
        </w:rPr>
        <w:t>poreikio.</w:t>
      </w:r>
    </w:p>
    <w:p w14:paraId="7F2D15C2" w14:textId="3328D5F0" w:rsidR="00B41B8D" w:rsidRDefault="009B57C6" w:rsidP="0009100A">
      <w:pPr>
        <w:pStyle w:val="ListParagraph"/>
        <w:numPr>
          <w:ilvl w:val="0"/>
          <w:numId w:val="1"/>
        </w:numPr>
        <w:tabs>
          <w:tab w:val="left" w:pos="517"/>
        </w:tabs>
        <w:spacing w:before="2" w:line="360" w:lineRule="auto"/>
        <w:ind w:left="501" w:right="108" w:hanging="279"/>
        <w:rPr>
          <w:sz w:val="24"/>
        </w:rPr>
      </w:pPr>
      <w:r>
        <w:rPr>
          <w:sz w:val="24"/>
        </w:rPr>
        <w:t>Institucijų mobilumo poreikis apskaičiuojamas vadovaujantis planuojamu siunčiamų asmenų skaičiumi</w:t>
      </w:r>
      <w:r w:rsidR="00A61EB3">
        <w:rPr>
          <w:sz w:val="24"/>
        </w:rPr>
        <w:t>,</w:t>
      </w:r>
      <w:r>
        <w:rPr>
          <w:sz w:val="24"/>
        </w:rPr>
        <w:t xml:space="preserve"> </w:t>
      </w:r>
      <w:r w:rsidR="00A61EB3">
        <w:rPr>
          <w:sz w:val="24"/>
        </w:rPr>
        <w:t xml:space="preserve">nurodytu </w:t>
      </w:r>
      <w:r>
        <w:rPr>
          <w:sz w:val="24"/>
        </w:rPr>
        <w:t xml:space="preserve">2021 m. institucijų paraiškose: studentų mobilumui skaičiuojamas </w:t>
      </w:r>
      <w:r w:rsidR="009169EF">
        <w:rPr>
          <w:sz w:val="24"/>
        </w:rPr>
        <w:t xml:space="preserve">trijų </w:t>
      </w:r>
      <w:r w:rsidRPr="009F4520">
        <w:rPr>
          <w:sz w:val="24"/>
        </w:rPr>
        <w:t>šalių grupių mėnesio stipendijos</w:t>
      </w:r>
      <w:r w:rsidRPr="009169EF">
        <w:rPr>
          <w:sz w:val="24"/>
        </w:rPr>
        <w:t xml:space="preserve"> studijoms</w:t>
      </w:r>
      <w:r>
        <w:rPr>
          <w:sz w:val="24"/>
        </w:rPr>
        <w:t xml:space="preserve"> ir, atitinkamai, praktikoms vidurkis, darbuotojų mobilumui – 9</w:t>
      </w:r>
      <w:r w:rsidR="00FE604C">
        <w:rPr>
          <w:sz w:val="24"/>
        </w:rPr>
        <w:t>5</w:t>
      </w:r>
      <w:r>
        <w:rPr>
          <w:sz w:val="24"/>
        </w:rPr>
        <w:t>0 eurų vienam</w:t>
      </w:r>
      <w:r>
        <w:rPr>
          <w:spacing w:val="-11"/>
          <w:sz w:val="24"/>
        </w:rPr>
        <w:t xml:space="preserve"> </w:t>
      </w:r>
      <w:r>
        <w:rPr>
          <w:sz w:val="24"/>
        </w:rPr>
        <w:t>vizitui</w:t>
      </w:r>
      <w:r w:rsidR="00A61EB3">
        <w:rPr>
          <w:sz w:val="24"/>
        </w:rPr>
        <w:t>, taikant mobilumo trukmės vidurkį veiklos įgyvendinimui: 5 mėn</w:t>
      </w:r>
      <w:r w:rsidR="00FE604C">
        <w:rPr>
          <w:sz w:val="24"/>
        </w:rPr>
        <w:t>esių</w:t>
      </w:r>
      <w:r w:rsidR="00A61EB3">
        <w:rPr>
          <w:sz w:val="24"/>
        </w:rPr>
        <w:t xml:space="preserve"> trukmė studijų mobilumui, 3 mėn</w:t>
      </w:r>
      <w:r w:rsidR="00FE604C">
        <w:rPr>
          <w:sz w:val="24"/>
        </w:rPr>
        <w:t>esių</w:t>
      </w:r>
      <w:r w:rsidR="00A61EB3">
        <w:rPr>
          <w:sz w:val="24"/>
        </w:rPr>
        <w:t xml:space="preserve"> trukmė praktikos mobilumui ir 6 d</w:t>
      </w:r>
      <w:r w:rsidR="00FE604C">
        <w:rPr>
          <w:sz w:val="24"/>
        </w:rPr>
        <w:t>ienų</w:t>
      </w:r>
      <w:r w:rsidR="00A61EB3">
        <w:rPr>
          <w:sz w:val="24"/>
        </w:rPr>
        <w:t xml:space="preserve"> trukmė darbuotojų mobilumui</w:t>
      </w:r>
      <w:r>
        <w:rPr>
          <w:sz w:val="24"/>
        </w:rPr>
        <w:t>.</w:t>
      </w:r>
    </w:p>
    <w:p w14:paraId="7FA8A630" w14:textId="73BEA3A1" w:rsidR="00B41B8D" w:rsidRPr="00E96C07" w:rsidRDefault="009B57C6" w:rsidP="0009100A">
      <w:pPr>
        <w:pStyle w:val="ListParagraph"/>
        <w:numPr>
          <w:ilvl w:val="0"/>
          <w:numId w:val="1"/>
        </w:numPr>
        <w:tabs>
          <w:tab w:val="left" w:pos="464"/>
        </w:tabs>
        <w:spacing w:line="292" w:lineRule="exact"/>
        <w:ind w:left="463" w:hanging="242"/>
        <w:rPr>
          <w:sz w:val="24"/>
        </w:rPr>
      </w:pPr>
      <w:r w:rsidRPr="00E96C07">
        <w:rPr>
          <w:sz w:val="24"/>
        </w:rPr>
        <w:t>Bendras</w:t>
      </w:r>
      <w:r w:rsidRPr="00E96C07">
        <w:rPr>
          <w:spacing w:val="-14"/>
          <w:sz w:val="24"/>
        </w:rPr>
        <w:t xml:space="preserve"> </w:t>
      </w:r>
      <w:r w:rsidRPr="00E96C07">
        <w:rPr>
          <w:sz w:val="24"/>
        </w:rPr>
        <w:t>studentų</w:t>
      </w:r>
      <w:r w:rsidRPr="00E96C07">
        <w:rPr>
          <w:spacing w:val="-16"/>
          <w:sz w:val="24"/>
        </w:rPr>
        <w:t xml:space="preserve"> </w:t>
      </w:r>
      <w:r w:rsidRPr="00E96C07">
        <w:rPr>
          <w:sz w:val="24"/>
        </w:rPr>
        <w:t>mobilumo</w:t>
      </w:r>
      <w:r w:rsidRPr="00E96C07">
        <w:rPr>
          <w:spacing w:val="-15"/>
          <w:sz w:val="24"/>
        </w:rPr>
        <w:t xml:space="preserve"> </w:t>
      </w:r>
      <w:r w:rsidRPr="00E96C07">
        <w:rPr>
          <w:sz w:val="24"/>
        </w:rPr>
        <w:t>stipendijoms</w:t>
      </w:r>
      <w:r w:rsidRPr="00E96C07">
        <w:rPr>
          <w:spacing w:val="-13"/>
          <w:sz w:val="24"/>
        </w:rPr>
        <w:t xml:space="preserve"> </w:t>
      </w:r>
      <w:r w:rsidRPr="00E96C07">
        <w:rPr>
          <w:sz w:val="24"/>
        </w:rPr>
        <w:t>skirtas</w:t>
      </w:r>
      <w:r w:rsidRPr="00E96C07">
        <w:rPr>
          <w:spacing w:val="-10"/>
          <w:sz w:val="24"/>
        </w:rPr>
        <w:t xml:space="preserve"> </w:t>
      </w:r>
      <w:r w:rsidRPr="00E96C07">
        <w:rPr>
          <w:sz w:val="24"/>
        </w:rPr>
        <w:t>biudžetas</w:t>
      </w:r>
      <w:r w:rsidRPr="00E96C07">
        <w:rPr>
          <w:spacing w:val="-10"/>
          <w:sz w:val="24"/>
        </w:rPr>
        <w:t xml:space="preserve"> </w:t>
      </w:r>
      <w:r w:rsidRPr="00E96C07">
        <w:rPr>
          <w:sz w:val="24"/>
        </w:rPr>
        <w:t>paskirstytas</w:t>
      </w:r>
      <w:r w:rsidRPr="00E96C07">
        <w:rPr>
          <w:spacing w:val="-14"/>
          <w:sz w:val="24"/>
        </w:rPr>
        <w:t xml:space="preserve"> </w:t>
      </w:r>
      <w:r w:rsidRPr="00E96C07">
        <w:rPr>
          <w:sz w:val="24"/>
        </w:rPr>
        <w:t>atskiriant</w:t>
      </w:r>
      <w:r w:rsidRPr="00E96C07">
        <w:rPr>
          <w:spacing w:val="-16"/>
          <w:sz w:val="24"/>
        </w:rPr>
        <w:t xml:space="preserve"> </w:t>
      </w:r>
      <w:r w:rsidRPr="00E96C07">
        <w:rPr>
          <w:sz w:val="24"/>
        </w:rPr>
        <w:t>biudžetus</w:t>
      </w:r>
      <w:r w:rsidR="00FE604C">
        <w:rPr>
          <w:sz w:val="24"/>
        </w:rPr>
        <w:t>:</w:t>
      </w:r>
    </w:p>
    <w:p w14:paraId="03FC833E" w14:textId="5E5BBC04" w:rsidR="00B41B8D" w:rsidRPr="00E96C07" w:rsidRDefault="009B57C6" w:rsidP="0009100A">
      <w:pPr>
        <w:pStyle w:val="BodyText"/>
        <w:spacing w:before="144" w:line="362" w:lineRule="auto"/>
        <w:ind w:left="501" w:right="125"/>
        <w:jc w:val="both"/>
      </w:pPr>
      <w:r w:rsidRPr="00E96C07">
        <w:t>procentiškai universitetams</w:t>
      </w:r>
      <w:r w:rsidR="0081205D">
        <w:t xml:space="preserve"> ir</w:t>
      </w:r>
      <w:r w:rsidRPr="00E96C07">
        <w:t xml:space="preserve"> kolegijoms</w:t>
      </w:r>
      <w:r w:rsidR="00FE604C">
        <w:t>,</w:t>
      </w:r>
      <w:r w:rsidRPr="00E96C07">
        <w:t xml:space="preserve"> vadovaujantis </w:t>
      </w:r>
      <w:r w:rsidR="0025582B" w:rsidRPr="00E96C07">
        <w:t xml:space="preserve">2020 </w:t>
      </w:r>
      <w:r w:rsidRPr="00E96C07">
        <w:t>metų bendru abiejų sektorių siunčiamų studentų skaičiumi.</w:t>
      </w:r>
    </w:p>
    <w:p w14:paraId="0943821F" w14:textId="77777777" w:rsidR="00B41B8D" w:rsidRPr="00B932A6" w:rsidRDefault="009B57C6" w:rsidP="0009100A">
      <w:pPr>
        <w:pStyle w:val="ListParagraph"/>
        <w:numPr>
          <w:ilvl w:val="0"/>
          <w:numId w:val="1"/>
        </w:numPr>
        <w:tabs>
          <w:tab w:val="left" w:pos="464"/>
        </w:tabs>
        <w:spacing w:line="362" w:lineRule="auto"/>
        <w:ind w:left="501" w:right="110" w:hanging="279"/>
        <w:rPr>
          <w:sz w:val="24"/>
        </w:rPr>
      </w:pPr>
      <w:r w:rsidRPr="00E96C07">
        <w:rPr>
          <w:sz w:val="24"/>
        </w:rPr>
        <w:t xml:space="preserve">Bendras biudžetas </w:t>
      </w:r>
      <w:r w:rsidRPr="00E96C07">
        <w:rPr>
          <w:b/>
          <w:sz w:val="24"/>
        </w:rPr>
        <w:t>studentų mobilumui (kartu studijoms ir praktikoms) paskirstomas</w:t>
      </w:r>
      <w:r w:rsidRPr="00B932A6">
        <w:rPr>
          <w:sz w:val="24"/>
        </w:rPr>
        <w:t xml:space="preserve"> pagal šiuos</w:t>
      </w:r>
      <w:r w:rsidRPr="00B932A6">
        <w:rPr>
          <w:spacing w:val="-1"/>
          <w:sz w:val="24"/>
        </w:rPr>
        <w:t xml:space="preserve"> </w:t>
      </w:r>
      <w:r w:rsidRPr="00B932A6">
        <w:rPr>
          <w:sz w:val="24"/>
        </w:rPr>
        <w:t>rodiklius:</w:t>
      </w:r>
    </w:p>
    <w:p w14:paraId="7DE39342" w14:textId="24897DC4" w:rsidR="00B41B8D" w:rsidRPr="004772C7" w:rsidRDefault="0025582B" w:rsidP="0009100A">
      <w:pPr>
        <w:pStyle w:val="Heading1"/>
        <w:numPr>
          <w:ilvl w:val="1"/>
          <w:numId w:val="1"/>
        </w:numPr>
        <w:tabs>
          <w:tab w:val="left" w:pos="1222"/>
        </w:tabs>
        <w:ind w:hanging="361"/>
        <w:jc w:val="both"/>
        <w:rPr>
          <w:b w:val="0"/>
        </w:rPr>
      </w:pPr>
      <w:r w:rsidRPr="004772C7">
        <w:rPr>
          <w:b w:val="0"/>
        </w:rPr>
        <w:t xml:space="preserve">2020 </w:t>
      </w:r>
      <w:r w:rsidR="009B57C6" w:rsidRPr="004772C7">
        <w:rPr>
          <w:b w:val="0"/>
        </w:rPr>
        <w:t>metų siųstinų studentų skaičiaus institucijoje rodiklį – 15</w:t>
      </w:r>
      <w:r w:rsidR="009B57C6" w:rsidRPr="004772C7">
        <w:rPr>
          <w:b w:val="0"/>
          <w:spacing w:val="-12"/>
        </w:rPr>
        <w:t xml:space="preserve"> </w:t>
      </w:r>
      <w:r w:rsidR="009B57C6" w:rsidRPr="004772C7">
        <w:rPr>
          <w:b w:val="0"/>
        </w:rPr>
        <w:t>proc.,</w:t>
      </w:r>
    </w:p>
    <w:p w14:paraId="1E954D6E" w14:textId="71DC201E" w:rsidR="00B41B8D" w:rsidRPr="004772C7" w:rsidRDefault="009B57C6" w:rsidP="0009100A">
      <w:pPr>
        <w:pStyle w:val="ListParagraph"/>
        <w:numPr>
          <w:ilvl w:val="1"/>
          <w:numId w:val="1"/>
        </w:numPr>
        <w:tabs>
          <w:tab w:val="left" w:pos="1222"/>
        </w:tabs>
        <w:spacing w:before="140" w:line="355" w:lineRule="auto"/>
        <w:ind w:right="109"/>
        <w:rPr>
          <w:sz w:val="24"/>
        </w:rPr>
      </w:pPr>
      <w:r w:rsidRPr="004772C7">
        <w:rPr>
          <w:sz w:val="24"/>
        </w:rPr>
        <w:t>institucijos</w:t>
      </w:r>
      <w:r w:rsidRPr="004772C7">
        <w:rPr>
          <w:spacing w:val="-9"/>
          <w:sz w:val="24"/>
        </w:rPr>
        <w:t xml:space="preserve"> </w:t>
      </w:r>
      <w:r w:rsidRPr="004772C7">
        <w:rPr>
          <w:sz w:val="24"/>
        </w:rPr>
        <w:t>studentų</w:t>
      </w:r>
      <w:r w:rsidRPr="004772C7">
        <w:rPr>
          <w:spacing w:val="-4"/>
          <w:sz w:val="24"/>
        </w:rPr>
        <w:t xml:space="preserve"> </w:t>
      </w:r>
      <w:r w:rsidRPr="004772C7">
        <w:rPr>
          <w:sz w:val="24"/>
        </w:rPr>
        <w:t>mobilumo</w:t>
      </w:r>
      <w:r w:rsidRPr="004772C7">
        <w:rPr>
          <w:spacing w:val="-8"/>
          <w:sz w:val="24"/>
        </w:rPr>
        <w:t xml:space="preserve"> </w:t>
      </w:r>
      <w:r w:rsidRPr="004772C7">
        <w:rPr>
          <w:sz w:val="24"/>
        </w:rPr>
        <w:t>pasiekimų</w:t>
      </w:r>
      <w:r w:rsidRPr="004772C7">
        <w:rPr>
          <w:spacing w:val="-9"/>
          <w:sz w:val="24"/>
        </w:rPr>
        <w:t xml:space="preserve"> </w:t>
      </w:r>
      <w:r w:rsidRPr="004772C7">
        <w:rPr>
          <w:sz w:val="24"/>
        </w:rPr>
        <w:t>rodiklį:</w:t>
      </w:r>
      <w:r w:rsidRPr="004772C7">
        <w:rPr>
          <w:spacing w:val="-11"/>
          <w:sz w:val="24"/>
        </w:rPr>
        <w:t xml:space="preserve"> </w:t>
      </w:r>
      <w:r w:rsidRPr="004772C7">
        <w:rPr>
          <w:sz w:val="24"/>
        </w:rPr>
        <w:t>naudojant</w:t>
      </w:r>
      <w:r w:rsidRPr="004772C7">
        <w:rPr>
          <w:spacing w:val="-3"/>
          <w:sz w:val="24"/>
        </w:rPr>
        <w:t xml:space="preserve"> </w:t>
      </w:r>
      <w:r w:rsidRPr="004772C7">
        <w:rPr>
          <w:sz w:val="24"/>
        </w:rPr>
        <w:t>išvykusių</w:t>
      </w:r>
      <w:r w:rsidRPr="004772C7">
        <w:rPr>
          <w:spacing w:val="-9"/>
          <w:sz w:val="24"/>
        </w:rPr>
        <w:t xml:space="preserve"> </w:t>
      </w:r>
      <w:r w:rsidRPr="004772C7">
        <w:rPr>
          <w:sz w:val="24"/>
        </w:rPr>
        <w:t>studentų</w:t>
      </w:r>
      <w:r w:rsidRPr="004772C7">
        <w:rPr>
          <w:spacing w:val="-5"/>
          <w:sz w:val="24"/>
        </w:rPr>
        <w:t xml:space="preserve"> </w:t>
      </w:r>
      <w:r w:rsidRPr="004772C7">
        <w:rPr>
          <w:sz w:val="24"/>
        </w:rPr>
        <w:t>skaičių pagal 2017–2018 ir 2018–2019 m. m. studijų ir praktikų mobilumo įgyvendinimo rezultatus bei 201</w:t>
      </w:r>
      <w:r w:rsidR="00DD091B">
        <w:rPr>
          <w:sz w:val="24"/>
        </w:rPr>
        <w:t>8</w:t>
      </w:r>
      <w:r w:rsidRPr="004772C7">
        <w:rPr>
          <w:sz w:val="24"/>
        </w:rPr>
        <w:t xml:space="preserve"> ir 201</w:t>
      </w:r>
      <w:r w:rsidR="00DD091B">
        <w:rPr>
          <w:sz w:val="24"/>
        </w:rPr>
        <w:t>9</w:t>
      </w:r>
      <w:r w:rsidRPr="004772C7">
        <w:rPr>
          <w:sz w:val="24"/>
        </w:rPr>
        <w:t xml:space="preserve"> metų siųstinų studentų skaičių) – 45</w:t>
      </w:r>
      <w:r w:rsidRPr="004772C7">
        <w:rPr>
          <w:spacing w:val="-12"/>
          <w:sz w:val="24"/>
        </w:rPr>
        <w:t xml:space="preserve"> </w:t>
      </w:r>
      <w:r w:rsidRPr="004772C7">
        <w:rPr>
          <w:sz w:val="24"/>
        </w:rPr>
        <w:t>proc.,</w:t>
      </w:r>
    </w:p>
    <w:p w14:paraId="52EB3E3F" w14:textId="77777777" w:rsidR="00E96C07" w:rsidRPr="004772C7" w:rsidRDefault="00E96C07" w:rsidP="0009100A">
      <w:pPr>
        <w:pStyle w:val="ListParagraph"/>
        <w:numPr>
          <w:ilvl w:val="1"/>
          <w:numId w:val="1"/>
        </w:numPr>
        <w:tabs>
          <w:tab w:val="left" w:pos="1222"/>
        </w:tabs>
        <w:spacing w:before="73"/>
        <w:ind w:hanging="361"/>
        <w:rPr>
          <w:sz w:val="24"/>
        </w:rPr>
      </w:pPr>
      <w:r w:rsidRPr="004772C7">
        <w:rPr>
          <w:sz w:val="24"/>
        </w:rPr>
        <w:t>institucijos</w:t>
      </w:r>
      <w:r w:rsidRPr="004772C7">
        <w:rPr>
          <w:spacing w:val="-13"/>
          <w:sz w:val="24"/>
        </w:rPr>
        <w:t xml:space="preserve"> </w:t>
      </w:r>
      <w:r w:rsidRPr="004772C7">
        <w:rPr>
          <w:sz w:val="24"/>
        </w:rPr>
        <w:t>studentų</w:t>
      </w:r>
      <w:r w:rsidRPr="004772C7">
        <w:rPr>
          <w:spacing w:val="-13"/>
          <w:sz w:val="24"/>
        </w:rPr>
        <w:t xml:space="preserve"> </w:t>
      </w:r>
      <w:r w:rsidRPr="004772C7">
        <w:rPr>
          <w:sz w:val="24"/>
        </w:rPr>
        <w:t>mobilumo</w:t>
      </w:r>
      <w:r w:rsidRPr="004772C7">
        <w:rPr>
          <w:spacing w:val="-12"/>
          <w:sz w:val="24"/>
        </w:rPr>
        <w:t xml:space="preserve"> </w:t>
      </w:r>
      <w:r w:rsidRPr="004772C7">
        <w:rPr>
          <w:sz w:val="24"/>
        </w:rPr>
        <w:t>dvikryptiškumo</w:t>
      </w:r>
      <w:r w:rsidRPr="004772C7">
        <w:rPr>
          <w:sz w:val="24"/>
          <w:vertAlign w:val="superscript"/>
        </w:rPr>
        <w:t>2</w:t>
      </w:r>
      <w:r w:rsidRPr="004772C7">
        <w:rPr>
          <w:spacing w:val="-3"/>
          <w:sz w:val="24"/>
        </w:rPr>
        <w:t xml:space="preserve"> </w:t>
      </w:r>
      <w:r w:rsidRPr="004772C7">
        <w:rPr>
          <w:sz w:val="24"/>
        </w:rPr>
        <w:t>rodiklį:</w:t>
      </w:r>
      <w:r w:rsidRPr="004772C7">
        <w:rPr>
          <w:spacing w:val="-11"/>
          <w:sz w:val="24"/>
        </w:rPr>
        <w:t xml:space="preserve"> </w:t>
      </w:r>
      <w:r w:rsidRPr="004772C7">
        <w:rPr>
          <w:sz w:val="24"/>
        </w:rPr>
        <w:t>pagal</w:t>
      </w:r>
      <w:r w:rsidRPr="004772C7">
        <w:rPr>
          <w:spacing w:val="31"/>
          <w:sz w:val="24"/>
        </w:rPr>
        <w:t xml:space="preserve"> </w:t>
      </w:r>
      <w:r w:rsidRPr="004772C7">
        <w:rPr>
          <w:sz w:val="24"/>
        </w:rPr>
        <w:t>2017–2018</w:t>
      </w:r>
      <w:r w:rsidRPr="004772C7">
        <w:rPr>
          <w:spacing w:val="-14"/>
          <w:sz w:val="24"/>
        </w:rPr>
        <w:t xml:space="preserve"> </w:t>
      </w:r>
      <w:r w:rsidRPr="004772C7">
        <w:rPr>
          <w:sz w:val="24"/>
        </w:rPr>
        <w:t>ir</w:t>
      </w:r>
      <w:r w:rsidRPr="004772C7">
        <w:rPr>
          <w:spacing w:val="-16"/>
          <w:sz w:val="24"/>
        </w:rPr>
        <w:t xml:space="preserve"> </w:t>
      </w:r>
      <w:r w:rsidRPr="004772C7">
        <w:rPr>
          <w:sz w:val="24"/>
        </w:rPr>
        <w:t>2018–2019</w:t>
      </w:r>
    </w:p>
    <w:p w14:paraId="75B66198" w14:textId="7F4B128B" w:rsidR="00E96C07" w:rsidRPr="004772C7" w:rsidRDefault="00E96C07" w:rsidP="0009100A">
      <w:pPr>
        <w:pStyle w:val="BodyText"/>
        <w:spacing w:before="144" w:line="362" w:lineRule="auto"/>
        <w:ind w:left="1221" w:right="112"/>
        <w:jc w:val="both"/>
        <w:rPr>
          <w:sz w:val="29"/>
        </w:rPr>
      </w:pPr>
      <w:r w:rsidRPr="004772C7">
        <w:t>m. m. išvykstančių ir atvykstančių studentų mobilumo įgyvendinimo rezultatus bei 201</w:t>
      </w:r>
      <w:r w:rsidR="00DD091B">
        <w:t>8</w:t>
      </w:r>
      <w:r w:rsidRPr="004772C7">
        <w:t xml:space="preserve"> ir 201</w:t>
      </w:r>
      <w:r w:rsidR="00DD091B">
        <w:t>9</w:t>
      </w:r>
      <w:r w:rsidRPr="004772C7">
        <w:t xml:space="preserve"> metų siųstinų studentų skaičių – 40 proc.</w:t>
      </w:r>
    </w:p>
    <w:p w14:paraId="01F5737A" w14:textId="70F575D3" w:rsidR="00B41B8D" w:rsidRPr="004772C7" w:rsidRDefault="00A61EB3" w:rsidP="0009100A">
      <w:pPr>
        <w:pStyle w:val="BodyText"/>
        <w:spacing w:before="6"/>
        <w:jc w:val="both"/>
        <w:rPr>
          <w:sz w:val="2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6933A10E" wp14:editId="3FF33999">
                <wp:simplePos x="0" y="0"/>
                <wp:positionH relativeFrom="page">
                  <wp:posOffset>1079500</wp:posOffset>
                </wp:positionH>
                <wp:positionV relativeFrom="paragraph">
                  <wp:posOffset>254000</wp:posOffset>
                </wp:positionV>
                <wp:extent cx="1830070" cy="698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0D192" id="Rectangle 1" o:spid="_x0000_s1026" style="position:absolute;margin-left:85pt;margin-top:20pt;width:144.1pt;height:.55pt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4772C7" w:rsidRPr="004772C7">
        <w:rPr>
          <w:sz w:val="29"/>
        </w:rPr>
        <w:t>______________________</w:t>
      </w:r>
    </w:p>
    <w:p w14:paraId="405BBE9A" w14:textId="38F8EFD2" w:rsidR="00B41B8D" w:rsidRPr="00E71413" w:rsidRDefault="009B57C6" w:rsidP="00E71413">
      <w:pPr>
        <w:jc w:val="both"/>
        <w:rPr>
          <w:sz w:val="18"/>
          <w:szCs w:val="18"/>
        </w:rPr>
      </w:pPr>
      <w:r w:rsidRPr="00E71413">
        <w:rPr>
          <w:sz w:val="18"/>
          <w:szCs w:val="18"/>
          <w:vertAlign w:val="superscript"/>
        </w:rPr>
        <w:t>1</w:t>
      </w:r>
      <w:r w:rsidR="00E71413">
        <w:rPr>
          <w:sz w:val="18"/>
          <w:szCs w:val="18"/>
          <w:vertAlign w:val="superscript"/>
        </w:rPr>
        <w:t xml:space="preserve"> </w:t>
      </w:r>
      <w:r w:rsidRPr="00E71413">
        <w:rPr>
          <w:sz w:val="18"/>
          <w:szCs w:val="18"/>
        </w:rPr>
        <w:t>Siųstini studentai – tai institucijoje registruoti visų pakopų nuolatinės studijų formos, visų studijų formų doktorantūros ir rezidentūros studentai. Atitinkamų metų spalio 1 dienos duomenys gaunami iš Nacionalinės švietimo agentūros.</w:t>
      </w:r>
    </w:p>
    <w:p w14:paraId="3339A57D" w14:textId="41152A39" w:rsidR="0009100A" w:rsidRPr="00E71413" w:rsidRDefault="0009100A" w:rsidP="00E71413">
      <w:pPr>
        <w:jc w:val="both"/>
        <w:rPr>
          <w:sz w:val="18"/>
          <w:szCs w:val="18"/>
        </w:rPr>
      </w:pPr>
      <w:r w:rsidRPr="00E71413">
        <w:rPr>
          <w:sz w:val="18"/>
          <w:szCs w:val="18"/>
          <w:vertAlign w:val="superscript"/>
        </w:rPr>
        <w:t>2</w:t>
      </w:r>
      <w:r w:rsidR="00E71413">
        <w:rPr>
          <w:sz w:val="18"/>
          <w:szCs w:val="18"/>
          <w:vertAlign w:val="superscript"/>
        </w:rPr>
        <w:t xml:space="preserve"> </w:t>
      </w:r>
      <w:r w:rsidRPr="00E71413">
        <w:rPr>
          <w:sz w:val="18"/>
          <w:szCs w:val="18"/>
        </w:rPr>
        <w:t>Dvikryptiškumo rodikliui naudojami atvykstančių studentų duomenys iš Europos Komisijos „Mobility Tool+“ sistemos</w:t>
      </w:r>
    </w:p>
    <w:p w14:paraId="1AABE507" w14:textId="77777777" w:rsidR="00B41B8D" w:rsidRPr="00B932A6" w:rsidRDefault="00B41B8D" w:rsidP="0009100A">
      <w:pPr>
        <w:jc w:val="both"/>
        <w:sectPr w:rsidR="00B41B8D" w:rsidRPr="00B932A6" w:rsidSect="00FE604C">
          <w:footerReference w:type="default" r:id="rId7"/>
          <w:pgSz w:w="11906" w:h="16838"/>
          <w:pgMar w:top="284" w:right="460" w:bottom="980" w:left="1520" w:header="0" w:footer="787" w:gutter="0"/>
          <w:cols w:space="1296"/>
          <w:formProt w:val="0"/>
        </w:sectPr>
      </w:pPr>
    </w:p>
    <w:p w14:paraId="41604B04" w14:textId="779D31A2" w:rsidR="00B41B8D" w:rsidRPr="00E96C07" w:rsidRDefault="009B57C6" w:rsidP="0009100A">
      <w:pPr>
        <w:pStyle w:val="ListParagraph"/>
        <w:numPr>
          <w:ilvl w:val="0"/>
          <w:numId w:val="1"/>
        </w:numPr>
        <w:tabs>
          <w:tab w:val="left" w:pos="517"/>
        </w:tabs>
        <w:spacing w:line="360" w:lineRule="auto"/>
        <w:ind w:left="501" w:right="116" w:hanging="361"/>
        <w:rPr>
          <w:i/>
          <w:sz w:val="24"/>
        </w:rPr>
      </w:pPr>
      <w:r w:rsidRPr="00E96C07">
        <w:rPr>
          <w:sz w:val="24"/>
        </w:rPr>
        <w:lastRenderedPageBreak/>
        <w:t>Bendrai paskirstytos lėšos studentų mobilumui sutartyse institucijoms atskiriamos pagal eilutes studijoms ir praktiko</w:t>
      </w:r>
      <w:r w:rsidR="00B02E6B">
        <w:rPr>
          <w:sz w:val="24"/>
        </w:rPr>
        <w:t>m</w:t>
      </w:r>
      <w:r w:rsidRPr="00E96C07">
        <w:rPr>
          <w:sz w:val="24"/>
        </w:rPr>
        <w:t>s,</w:t>
      </w:r>
      <w:r w:rsidRPr="00E96C07">
        <w:rPr>
          <w:i/>
          <w:sz w:val="24"/>
        </w:rPr>
        <w:t xml:space="preserve"> </w:t>
      </w:r>
      <w:r w:rsidRPr="00E96C07">
        <w:rPr>
          <w:sz w:val="24"/>
        </w:rPr>
        <w:t>vadovaujantis 2021 m. institucijų paraiškose nurodytų mobilumo poreikių proporcijomis pagal atskiras</w:t>
      </w:r>
      <w:r w:rsidRPr="00E96C07">
        <w:rPr>
          <w:spacing w:val="-8"/>
          <w:sz w:val="24"/>
        </w:rPr>
        <w:t xml:space="preserve"> </w:t>
      </w:r>
      <w:r w:rsidRPr="00E96C07">
        <w:rPr>
          <w:sz w:val="24"/>
        </w:rPr>
        <w:t>veiklas</w:t>
      </w:r>
      <w:r w:rsidRPr="00E96C07">
        <w:rPr>
          <w:i/>
          <w:sz w:val="24"/>
        </w:rPr>
        <w:t>.</w:t>
      </w:r>
    </w:p>
    <w:p w14:paraId="262AA75B" w14:textId="77777777" w:rsidR="00B41B8D" w:rsidRPr="00B932A6" w:rsidRDefault="009B57C6" w:rsidP="0009100A">
      <w:pPr>
        <w:pStyle w:val="ListParagraph"/>
        <w:numPr>
          <w:ilvl w:val="0"/>
          <w:numId w:val="1"/>
        </w:numPr>
        <w:tabs>
          <w:tab w:val="left" w:pos="469"/>
        </w:tabs>
        <w:spacing w:line="290" w:lineRule="exact"/>
        <w:ind w:left="468" w:hanging="328"/>
        <w:rPr>
          <w:sz w:val="24"/>
        </w:rPr>
      </w:pPr>
      <w:r w:rsidRPr="004772C7">
        <w:rPr>
          <w:sz w:val="24"/>
        </w:rPr>
        <w:t xml:space="preserve">Bendras biudžetas </w:t>
      </w:r>
      <w:r w:rsidRPr="004772C7">
        <w:rPr>
          <w:b/>
          <w:sz w:val="24"/>
        </w:rPr>
        <w:t>darbuotojų mobilumui</w:t>
      </w:r>
      <w:r w:rsidRPr="004772C7">
        <w:rPr>
          <w:b/>
          <w:i/>
          <w:sz w:val="24"/>
        </w:rPr>
        <w:t xml:space="preserve"> </w:t>
      </w:r>
      <w:r w:rsidRPr="004772C7">
        <w:rPr>
          <w:b/>
          <w:sz w:val="24"/>
        </w:rPr>
        <w:t>paskirstomas</w:t>
      </w:r>
      <w:r w:rsidRPr="00B932A6">
        <w:rPr>
          <w:sz w:val="24"/>
        </w:rPr>
        <w:t xml:space="preserve"> pagal šiuos</w:t>
      </w:r>
      <w:r w:rsidRPr="00B932A6">
        <w:rPr>
          <w:spacing w:val="-9"/>
          <w:sz w:val="24"/>
        </w:rPr>
        <w:t xml:space="preserve"> </w:t>
      </w:r>
      <w:r w:rsidRPr="00B932A6">
        <w:rPr>
          <w:sz w:val="24"/>
        </w:rPr>
        <w:t>rodiklius:</w:t>
      </w:r>
    </w:p>
    <w:p w14:paraId="4D630BCD" w14:textId="014718C7" w:rsidR="00B41B8D" w:rsidRPr="004772C7" w:rsidRDefault="009B57C6" w:rsidP="0009100A">
      <w:pPr>
        <w:pStyle w:val="Heading1"/>
        <w:numPr>
          <w:ilvl w:val="1"/>
          <w:numId w:val="1"/>
        </w:numPr>
        <w:tabs>
          <w:tab w:val="left" w:pos="862"/>
        </w:tabs>
        <w:spacing w:before="150"/>
        <w:ind w:left="861" w:hanging="361"/>
        <w:jc w:val="both"/>
        <w:rPr>
          <w:b w:val="0"/>
        </w:rPr>
      </w:pPr>
      <w:r w:rsidRPr="004772C7">
        <w:rPr>
          <w:b w:val="0"/>
        </w:rPr>
        <w:t>Bendrą darbuotojų skaičių</w:t>
      </w:r>
      <w:r w:rsidRPr="004772C7">
        <w:rPr>
          <w:b w:val="0"/>
          <w:vertAlign w:val="superscript"/>
        </w:rPr>
        <w:t>3</w:t>
      </w:r>
      <w:r w:rsidRPr="004772C7">
        <w:rPr>
          <w:b w:val="0"/>
        </w:rPr>
        <w:t xml:space="preserve"> institucijoje </w:t>
      </w:r>
      <w:r w:rsidR="0025582B" w:rsidRPr="004772C7">
        <w:rPr>
          <w:b w:val="0"/>
        </w:rPr>
        <w:t xml:space="preserve">2020 </w:t>
      </w:r>
      <w:r w:rsidRPr="004772C7">
        <w:rPr>
          <w:b w:val="0"/>
        </w:rPr>
        <w:t>m. – 30</w:t>
      </w:r>
      <w:r w:rsidRPr="004772C7">
        <w:rPr>
          <w:b w:val="0"/>
          <w:spacing w:val="-12"/>
        </w:rPr>
        <w:t xml:space="preserve"> </w:t>
      </w:r>
      <w:r w:rsidRPr="004772C7">
        <w:rPr>
          <w:b w:val="0"/>
        </w:rPr>
        <w:t>proc.;</w:t>
      </w:r>
    </w:p>
    <w:p w14:paraId="6BC884B9" w14:textId="2D1003B1" w:rsidR="00B41B8D" w:rsidRPr="004772C7" w:rsidRDefault="009B57C6" w:rsidP="0009100A">
      <w:pPr>
        <w:pStyle w:val="ListParagraph"/>
        <w:numPr>
          <w:ilvl w:val="1"/>
          <w:numId w:val="1"/>
        </w:numPr>
        <w:tabs>
          <w:tab w:val="left" w:pos="862"/>
        </w:tabs>
        <w:spacing w:before="145" w:line="355" w:lineRule="auto"/>
        <w:ind w:left="861" w:right="116"/>
        <w:rPr>
          <w:sz w:val="24"/>
        </w:rPr>
      </w:pPr>
      <w:r w:rsidRPr="004772C7">
        <w:rPr>
          <w:sz w:val="24"/>
        </w:rPr>
        <w:t>institucijos darbuotojų mobilumo pasiekimų rodiklį: pagal išvykusių darbuotojų skaičių dėstymui ir mokymams 2017–2018 ir 2018–2019 m. m. mobilumo įgyvendinimo rezultatus bei 201</w:t>
      </w:r>
      <w:r w:rsidR="00DD091B">
        <w:rPr>
          <w:sz w:val="24"/>
        </w:rPr>
        <w:t>8</w:t>
      </w:r>
      <w:r w:rsidRPr="004772C7">
        <w:rPr>
          <w:sz w:val="24"/>
        </w:rPr>
        <w:t xml:space="preserve"> ir 201</w:t>
      </w:r>
      <w:r w:rsidR="00DD091B">
        <w:rPr>
          <w:sz w:val="24"/>
        </w:rPr>
        <w:t>9</w:t>
      </w:r>
      <w:r w:rsidRPr="004772C7">
        <w:rPr>
          <w:sz w:val="24"/>
        </w:rPr>
        <w:t xml:space="preserve"> metų bendrą darbuotojų skaičių – 50</w:t>
      </w:r>
      <w:r w:rsidRPr="004772C7">
        <w:rPr>
          <w:spacing w:val="-13"/>
          <w:sz w:val="24"/>
        </w:rPr>
        <w:t xml:space="preserve"> </w:t>
      </w:r>
      <w:r w:rsidRPr="004772C7">
        <w:rPr>
          <w:sz w:val="24"/>
        </w:rPr>
        <w:t>proc.,</w:t>
      </w:r>
    </w:p>
    <w:p w14:paraId="06989177" w14:textId="77777777" w:rsidR="00B41B8D" w:rsidRPr="004772C7" w:rsidRDefault="009B57C6" w:rsidP="0009100A">
      <w:pPr>
        <w:pStyle w:val="ListParagraph"/>
        <w:numPr>
          <w:ilvl w:val="1"/>
          <w:numId w:val="1"/>
        </w:numPr>
        <w:tabs>
          <w:tab w:val="left" w:pos="862"/>
        </w:tabs>
        <w:spacing w:before="8"/>
        <w:ind w:left="861" w:hanging="361"/>
        <w:rPr>
          <w:sz w:val="24"/>
        </w:rPr>
      </w:pPr>
      <w:r w:rsidRPr="004772C7">
        <w:rPr>
          <w:sz w:val="24"/>
        </w:rPr>
        <w:t>institucijos darbuotojų mobilumo dvikryptiškumo</w:t>
      </w:r>
      <w:r w:rsidRPr="004772C7">
        <w:rPr>
          <w:sz w:val="24"/>
          <w:vertAlign w:val="superscript"/>
        </w:rPr>
        <w:t>4</w:t>
      </w:r>
      <w:r w:rsidRPr="004772C7">
        <w:rPr>
          <w:spacing w:val="30"/>
          <w:sz w:val="24"/>
        </w:rPr>
        <w:t xml:space="preserve"> </w:t>
      </w:r>
      <w:r w:rsidRPr="004772C7">
        <w:rPr>
          <w:sz w:val="24"/>
        </w:rPr>
        <w:t>rodiklį: pagal 2017–2018 ir 2018–2019</w:t>
      </w:r>
    </w:p>
    <w:p w14:paraId="26113735" w14:textId="2AA1E736" w:rsidR="00B41B8D" w:rsidRPr="004772C7" w:rsidRDefault="009B57C6" w:rsidP="0009100A">
      <w:pPr>
        <w:pStyle w:val="BodyText"/>
        <w:spacing w:before="148" w:line="355" w:lineRule="auto"/>
        <w:ind w:left="861" w:right="119"/>
        <w:jc w:val="both"/>
      </w:pPr>
      <w:r w:rsidRPr="004772C7">
        <w:t>m. m. išvykstančių ir atvykstančių darbuotojų mobilumo dėstymui ir mokymosi vizitams įgyvendinimo rezultatus bei 201</w:t>
      </w:r>
      <w:r w:rsidR="00DD091B">
        <w:t>8</w:t>
      </w:r>
      <w:r w:rsidRPr="004772C7">
        <w:t xml:space="preserve"> ir 201</w:t>
      </w:r>
      <w:r w:rsidR="00DD091B">
        <w:t>9</w:t>
      </w:r>
      <w:r w:rsidRPr="004772C7">
        <w:t xml:space="preserve"> metų bendrą darbuotojų skaičių – 20 proc.</w:t>
      </w:r>
    </w:p>
    <w:p w14:paraId="7D7FAFD6" w14:textId="77777777" w:rsidR="00B41B8D" w:rsidRPr="004772C7" w:rsidRDefault="009B57C6" w:rsidP="0009100A">
      <w:pPr>
        <w:pStyle w:val="ListParagraph"/>
        <w:numPr>
          <w:ilvl w:val="0"/>
          <w:numId w:val="1"/>
        </w:numPr>
        <w:tabs>
          <w:tab w:val="left" w:pos="517"/>
        </w:tabs>
        <w:spacing w:before="6" w:line="360" w:lineRule="auto"/>
        <w:ind w:left="501" w:right="112" w:hanging="323"/>
        <w:rPr>
          <w:i/>
          <w:sz w:val="24"/>
        </w:rPr>
      </w:pPr>
      <w:r w:rsidRPr="004772C7">
        <w:rPr>
          <w:sz w:val="24"/>
        </w:rPr>
        <w:t>Bendrai paskirstytos lėšos darbuotojų mobilumui sutartyse institucijoms atskiriamos pagal eilutes dėstymui ir mokymosi vizitams</w:t>
      </w:r>
      <w:r w:rsidRPr="004772C7">
        <w:rPr>
          <w:i/>
          <w:sz w:val="24"/>
        </w:rPr>
        <w:t xml:space="preserve"> </w:t>
      </w:r>
      <w:r w:rsidRPr="004772C7">
        <w:rPr>
          <w:sz w:val="24"/>
        </w:rPr>
        <w:t>vadovaujantis 2021 m. institucijų paraiškose nurodytų siunčiamų asmenų poreikiu ir proporcijomis pagal atskiras</w:t>
      </w:r>
      <w:r w:rsidRPr="004772C7">
        <w:rPr>
          <w:spacing w:val="-11"/>
          <w:sz w:val="24"/>
        </w:rPr>
        <w:t xml:space="preserve"> </w:t>
      </w:r>
      <w:r w:rsidRPr="004772C7">
        <w:rPr>
          <w:sz w:val="24"/>
        </w:rPr>
        <w:t>veiklas</w:t>
      </w:r>
      <w:r w:rsidRPr="004772C7">
        <w:rPr>
          <w:i/>
          <w:sz w:val="24"/>
        </w:rPr>
        <w:t>.</w:t>
      </w:r>
    </w:p>
    <w:p w14:paraId="089DF445" w14:textId="2CE4D0BE" w:rsidR="00B41B8D" w:rsidRPr="00B932A6" w:rsidRDefault="009B57C6" w:rsidP="0009100A">
      <w:pPr>
        <w:pStyle w:val="ListParagraph"/>
        <w:numPr>
          <w:ilvl w:val="0"/>
          <w:numId w:val="1"/>
        </w:numPr>
        <w:tabs>
          <w:tab w:val="left" w:pos="502"/>
        </w:tabs>
        <w:spacing w:line="360" w:lineRule="auto"/>
        <w:ind w:left="501" w:right="110" w:hanging="323"/>
        <w:rPr>
          <w:sz w:val="24"/>
        </w:rPr>
      </w:pPr>
      <w:r w:rsidRPr="00B932A6">
        <w:rPr>
          <w:sz w:val="24"/>
        </w:rPr>
        <w:t xml:space="preserve">Lėšos </w:t>
      </w:r>
      <w:r w:rsidRPr="000B797D">
        <w:rPr>
          <w:b/>
          <w:sz w:val="24"/>
        </w:rPr>
        <w:t>mobilumo organizavimui</w:t>
      </w:r>
      <w:r w:rsidRPr="000B797D">
        <w:rPr>
          <w:b/>
          <w:i/>
          <w:sz w:val="24"/>
        </w:rPr>
        <w:t xml:space="preserve"> </w:t>
      </w:r>
      <w:r w:rsidRPr="000B797D">
        <w:rPr>
          <w:b/>
          <w:sz w:val="24"/>
        </w:rPr>
        <w:t xml:space="preserve">(iš </w:t>
      </w:r>
      <w:bookmarkStart w:id="1" w:name="_Hlk73620071"/>
      <w:r w:rsidRPr="000B797D">
        <w:rPr>
          <w:b/>
          <w:sz w:val="24"/>
        </w:rPr>
        <w:t>E</w:t>
      </w:r>
      <w:r w:rsidR="004772C7" w:rsidRPr="000B797D">
        <w:rPr>
          <w:b/>
          <w:sz w:val="24"/>
        </w:rPr>
        <w:t xml:space="preserve">uropos </w:t>
      </w:r>
      <w:r w:rsidRPr="000B797D">
        <w:rPr>
          <w:b/>
          <w:sz w:val="24"/>
        </w:rPr>
        <w:t>K</w:t>
      </w:r>
      <w:r w:rsidR="004772C7" w:rsidRPr="000B797D">
        <w:rPr>
          <w:b/>
          <w:sz w:val="24"/>
        </w:rPr>
        <w:t>omisijos</w:t>
      </w:r>
      <w:r w:rsidRPr="000B797D">
        <w:rPr>
          <w:b/>
          <w:sz w:val="24"/>
        </w:rPr>
        <w:t xml:space="preserve"> </w:t>
      </w:r>
      <w:bookmarkEnd w:id="1"/>
      <w:r w:rsidRPr="000B797D">
        <w:rPr>
          <w:b/>
          <w:sz w:val="24"/>
        </w:rPr>
        <w:t xml:space="preserve">biudžeto) ir veiklų organizavimui (iš valstybės biudžeto) </w:t>
      </w:r>
      <w:r w:rsidR="000B797D" w:rsidRPr="000B797D">
        <w:rPr>
          <w:b/>
          <w:sz w:val="24"/>
        </w:rPr>
        <w:t>paskirstomos</w:t>
      </w:r>
      <w:r w:rsidR="000B797D">
        <w:rPr>
          <w:sz w:val="24"/>
        </w:rPr>
        <w:t xml:space="preserve"> </w:t>
      </w:r>
      <w:r w:rsidRPr="00B932A6">
        <w:rPr>
          <w:sz w:val="24"/>
        </w:rPr>
        <w:t>įvertinant apskaičiuotą minimalų mobilumų</w:t>
      </w:r>
      <w:r w:rsidRPr="00B932A6">
        <w:rPr>
          <w:spacing w:val="-5"/>
          <w:sz w:val="24"/>
        </w:rPr>
        <w:t xml:space="preserve"> </w:t>
      </w:r>
      <w:r w:rsidRPr="00B932A6">
        <w:rPr>
          <w:sz w:val="24"/>
        </w:rPr>
        <w:t>skaičių:</w:t>
      </w:r>
      <w:r w:rsidRPr="00B932A6">
        <w:rPr>
          <w:spacing w:val="-1"/>
          <w:sz w:val="24"/>
        </w:rPr>
        <w:t xml:space="preserve"> </w:t>
      </w:r>
      <w:r w:rsidRPr="00B932A6">
        <w:rPr>
          <w:sz w:val="24"/>
        </w:rPr>
        <w:t>nuo</w:t>
      </w:r>
      <w:r w:rsidRPr="00B932A6">
        <w:rPr>
          <w:spacing w:val="-1"/>
          <w:sz w:val="24"/>
        </w:rPr>
        <w:t xml:space="preserve"> </w:t>
      </w:r>
      <w:r w:rsidRPr="00B932A6">
        <w:rPr>
          <w:sz w:val="24"/>
        </w:rPr>
        <w:t>1</w:t>
      </w:r>
      <w:r w:rsidRPr="00B932A6">
        <w:rPr>
          <w:spacing w:val="-6"/>
          <w:sz w:val="24"/>
        </w:rPr>
        <w:t xml:space="preserve"> </w:t>
      </w:r>
      <w:r w:rsidRPr="00B932A6">
        <w:rPr>
          <w:sz w:val="24"/>
        </w:rPr>
        <w:t>iki</w:t>
      </w:r>
      <w:r w:rsidRPr="00B932A6">
        <w:rPr>
          <w:spacing w:val="-6"/>
          <w:sz w:val="24"/>
        </w:rPr>
        <w:t xml:space="preserve"> </w:t>
      </w:r>
      <w:r w:rsidRPr="00B932A6">
        <w:rPr>
          <w:sz w:val="24"/>
        </w:rPr>
        <w:t>100</w:t>
      </w:r>
      <w:r w:rsidRPr="00B932A6">
        <w:rPr>
          <w:spacing w:val="-5"/>
          <w:sz w:val="24"/>
        </w:rPr>
        <w:t xml:space="preserve"> </w:t>
      </w:r>
      <w:r w:rsidRPr="00B932A6">
        <w:rPr>
          <w:sz w:val="24"/>
        </w:rPr>
        <w:t>mobilumo</w:t>
      </w:r>
      <w:r w:rsidRPr="00B932A6">
        <w:rPr>
          <w:spacing w:val="-5"/>
          <w:sz w:val="24"/>
        </w:rPr>
        <w:t xml:space="preserve"> </w:t>
      </w:r>
      <w:r w:rsidRPr="00B932A6">
        <w:rPr>
          <w:sz w:val="24"/>
        </w:rPr>
        <w:t>dalyvių</w:t>
      </w:r>
      <w:r w:rsidRPr="00B932A6">
        <w:rPr>
          <w:spacing w:val="-1"/>
          <w:sz w:val="24"/>
        </w:rPr>
        <w:t xml:space="preserve"> </w:t>
      </w:r>
      <w:r w:rsidRPr="00B932A6">
        <w:rPr>
          <w:sz w:val="24"/>
        </w:rPr>
        <w:t>skaičiuojama</w:t>
      </w:r>
      <w:r w:rsidRPr="00B932A6">
        <w:rPr>
          <w:spacing w:val="-4"/>
          <w:sz w:val="24"/>
        </w:rPr>
        <w:t xml:space="preserve"> </w:t>
      </w:r>
      <w:r w:rsidRPr="00B932A6">
        <w:rPr>
          <w:sz w:val="24"/>
        </w:rPr>
        <w:t>po</w:t>
      </w:r>
      <w:r w:rsidRPr="00B932A6">
        <w:rPr>
          <w:spacing w:val="-6"/>
          <w:sz w:val="24"/>
        </w:rPr>
        <w:t xml:space="preserve"> </w:t>
      </w:r>
      <w:r w:rsidRPr="00B932A6">
        <w:rPr>
          <w:sz w:val="24"/>
        </w:rPr>
        <w:t>400</w:t>
      </w:r>
      <w:r w:rsidRPr="00B932A6">
        <w:rPr>
          <w:spacing w:val="-5"/>
          <w:sz w:val="24"/>
        </w:rPr>
        <w:t xml:space="preserve"> </w:t>
      </w:r>
      <w:r w:rsidRPr="00B932A6">
        <w:rPr>
          <w:sz w:val="24"/>
        </w:rPr>
        <w:t>eurų</w:t>
      </w:r>
      <w:r w:rsidRPr="00B932A6">
        <w:rPr>
          <w:spacing w:val="2"/>
          <w:sz w:val="24"/>
        </w:rPr>
        <w:t xml:space="preserve"> </w:t>
      </w:r>
      <w:r w:rsidRPr="00B932A6">
        <w:rPr>
          <w:sz w:val="24"/>
        </w:rPr>
        <w:t>dalyviui,</w:t>
      </w:r>
      <w:r w:rsidRPr="00B932A6">
        <w:rPr>
          <w:spacing w:val="-6"/>
          <w:sz w:val="24"/>
        </w:rPr>
        <w:t xml:space="preserve"> </w:t>
      </w:r>
      <w:r w:rsidRPr="00B932A6">
        <w:rPr>
          <w:sz w:val="24"/>
        </w:rPr>
        <w:t>o</w:t>
      </w:r>
      <w:r w:rsidRPr="00B932A6">
        <w:rPr>
          <w:spacing w:val="-1"/>
          <w:sz w:val="24"/>
        </w:rPr>
        <w:t xml:space="preserve"> </w:t>
      </w:r>
      <w:r w:rsidRPr="00B932A6">
        <w:rPr>
          <w:sz w:val="24"/>
        </w:rPr>
        <w:t>nuo</w:t>
      </w:r>
      <w:r w:rsidRPr="00B932A6">
        <w:rPr>
          <w:spacing w:val="-1"/>
          <w:sz w:val="24"/>
        </w:rPr>
        <w:t xml:space="preserve"> </w:t>
      </w:r>
      <w:r w:rsidRPr="00B932A6">
        <w:rPr>
          <w:sz w:val="24"/>
        </w:rPr>
        <w:t>101 mobilumo dalyvio – po 230 eurų</w:t>
      </w:r>
      <w:r w:rsidRPr="00B932A6">
        <w:rPr>
          <w:spacing w:val="-6"/>
          <w:sz w:val="24"/>
        </w:rPr>
        <w:t xml:space="preserve"> </w:t>
      </w:r>
      <w:r w:rsidRPr="00B932A6">
        <w:rPr>
          <w:sz w:val="24"/>
        </w:rPr>
        <w:t>dalyviui.</w:t>
      </w:r>
    </w:p>
    <w:p w14:paraId="2830BFB8" w14:textId="4251A4ED" w:rsidR="00B41B8D" w:rsidRPr="004772C7" w:rsidRDefault="009B57C6" w:rsidP="0009100A">
      <w:pPr>
        <w:pStyle w:val="ListParagraph"/>
        <w:numPr>
          <w:ilvl w:val="0"/>
          <w:numId w:val="1"/>
        </w:numPr>
        <w:tabs>
          <w:tab w:val="left" w:pos="502"/>
        </w:tabs>
        <w:spacing w:before="1" w:line="355" w:lineRule="auto"/>
        <w:ind w:left="501" w:right="108" w:hanging="323"/>
        <w:rPr>
          <w:sz w:val="20"/>
        </w:rPr>
      </w:pPr>
      <w:r w:rsidRPr="00B932A6">
        <w:rPr>
          <w:sz w:val="24"/>
        </w:rPr>
        <w:t xml:space="preserve"> </w:t>
      </w:r>
      <w:r w:rsidRPr="009135F6">
        <w:rPr>
          <w:sz w:val="24"/>
        </w:rPr>
        <w:t xml:space="preserve">Lėšos </w:t>
      </w:r>
      <w:r w:rsidR="009135F6" w:rsidRPr="004772C7">
        <w:rPr>
          <w:b/>
          <w:sz w:val="24"/>
        </w:rPr>
        <w:t xml:space="preserve">mišriosioms </w:t>
      </w:r>
      <w:r w:rsidRPr="004772C7">
        <w:rPr>
          <w:b/>
          <w:sz w:val="24"/>
        </w:rPr>
        <w:t>intensyvioms programoms</w:t>
      </w:r>
      <w:r w:rsidR="001F1AD3">
        <w:rPr>
          <w:sz w:val="24"/>
        </w:rPr>
        <w:t xml:space="preserve"> </w:t>
      </w:r>
      <w:r w:rsidRPr="001F1AD3">
        <w:rPr>
          <w:b/>
          <w:sz w:val="24"/>
        </w:rPr>
        <w:t xml:space="preserve">(iš </w:t>
      </w:r>
      <w:r w:rsidR="004772C7" w:rsidRPr="001F1AD3">
        <w:rPr>
          <w:b/>
          <w:sz w:val="24"/>
        </w:rPr>
        <w:t>Europos Komisijos</w:t>
      </w:r>
      <w:r w:rsidRPr="001F1AD3">
        <w:rPr>
          <w:b/>
          <w:sz w:val="24"/>
        </w:rPr>
        <w:t xml:space="preserve"> biudžeto)</w:t>
      </w:r>
      <w:r w:rsidRPr="009135F6">
        <w:rPr>
          <w:sz w:val="24"/>
        </w:rPr>
        <w:t xml:space="preserve"> </w:t>
      </w:r>
      <w:r w:rsidRPr="000B797D">
        <w:rPr>
          <w:b/>
          <w:sz w:val="24"/>
        </w:rPr>
        <w:t xml:space="preserve">apskaičiuojamos </w:t>
      </w:r>
      <w:r w:rsidRPr="009135F6">
        <w:rPr>
          <w:sz w:val="24"/>
        </w:rPr>
        <w:t xml:space="preserve">įvertinus projekto paraiškoje pateiktą institucijos poreikį, koordinuojančiai institucijai skiriant po 400 eurų </w:t>
      </w:r>
      <w:r w:rsidR="00C24E3A" w:rsidRPr="009135F6">
        <w:rPr>
          <w:sz w:val="24"/>
        </w:rPr>
        <w:t>už mobilų dalyvį</w:t>
      </w:r>
      <w:r w:rsidR="00D93D52" w:rsidRPr="009135F6">
        <w:rPr>
          <w:sz w:val="24"/>
        </w:rPr>
        <w:t xml:space="preserve"> iš institucijai </w:t>
      </w:r>
      <w:r w:rsidR="00C24E3A" w:rsidRPr="009135F6">
        <w:rPr>
          <w:sz w:val="24"/>
        </w:rPr>
        <w:t xml:space="preserve">paskirstymo metu apskaičiuotos </w:t>
      </w:r>
      <w:r w:rsidR="004772C7" w:rsidRPr="004772C7">
        <w:rPr>
          <w:sz w:val="24"/>
        </w:rPr>
        <w:t>Europos Komisijos</w:t>
      </w:r>
      <w:r w:rsidR="00D93D52" w:rsidRPr="009135F6">
        <w:rPr>
          <w:sz w:val="24"/>
        </w:rPr>
        <w:t xml:space="preserve"> dotacijos lėšų sumos</w:t>
      </w:r>
      <w:r w:rsidR="00B02E6B">
        <w:rPr>
          <w:sz w:val="24"/>
        </w:rPr>
        <w:t>,</w:t>
      </w:r>
      <w:r w:rsidRPr="009135F6">
        <w:rPr>
          <w:sz w:val="24"/>
        </w:rPr>
        <w:t xml:space="preserve"> planuojamoje veikloje esant ne mažiau kaip 15 ir ne daugiau kaip 20 mobilių dalyvių.</w:t>
      </w:r>
      <w:r w:rsidR="00C24E3A" w:rsidRPr="009135F6">
        <w:rPr>
          <w:sz w:val="24"/>
        </w:rPr>
        <w:t xml:space="preserve"> Institucijai skirta dotacija įgyvendinamai mobilumo veiklai negali būti mažesnė nei</w:t>
      </w:r>
      <w:r w:rsidR="00FF1764" w:rsidRPr="00E96C07">
        <w:rPr>
          <w:sz w:val="24"/>
        </w:rPr>
        <w:t xml:space="preserve"> bent 1 mobilumas iš kiekvienos mobilumo veiklos (studentų studijų, studentų praktikų,  darbuotojų mobilumui). </w:t>
      </w:r>
    </w:p>
    <w:p w14:paraId="5C19578B" w14:textId="77777777" w:rsidR="00E96C07" w:rsidRDefault="00E96C07" w:rsidP="0009100A">
      <w:pPr>
        <w:pStyle w:val="BodyText"/>
        <w:spacing w:before="11"/>
        <w:jc w:val="both"/>
        <w:rPr>
          <w:sz w:val="23"/>
        </w:rPr>
      </w:pPr>
    </w:p>
    <w:p w14:paraId="660AA5BD" w14:textId="77777777" w:rsidR="00E96C07" w:rsidRDefault="00E96C07" w:rsidP="0009100A">
      <w:pPr>
        <w:pStyle w:val="BodyText"/>
        <w:spacing w:before="11"/>
        <w:jc w:val="both"/>
        <w:rPr>
          <w:sz w:val="23"/>
        </w:rPr>
      </w:pPr>
    </w:p>
    <w:p w14:paraId="2C1CB9EA" w14:textId="77777777" w:rsidR="00E96C07" w:rsidRDefault="00E96C07" w:rsidP="0009100A">
      <w:pPr>
        <w:pStyle w:val="BodyText"/>
        <w:spacing w:before="11"/>
        <w:jc w:val="both"/>
        <w:rPr>
          <w:sz w:val="23"/>
        </w:rPr>
      </w:pPr>
    </w:p>
    <w:p w14:paraId="727FC706" w14:textId="77777777" w:rsidR="00E96C07" w:rsidRDefault="00E96C07" w:rsidP="0009100A">
      <w:pPr>
        <w:pStyle w:val="BodyText"/>
        <w:spacing w:before="11"/>
        <w:jc w:val="both"/>
        <w:rPr>
          <w:sz w:val="23"/>
        </w:rPr>
      </w:pPr>
    </w:p>
    <w:p w14:paraId="33651B8A" w14:textId="77777777" w:rsidR="00E96C07" w:rsidRDefault="00E96C07" w:rsidP="0009100A">
      <w:pPr>
        <w:pStyle w:val="BodyText"/>
        <w:spacing w:before="11"/>
        <w:jc w:val="both"/>
        <w:rPr>
          <w:sz w:val="23"/>
        </w:rPr>
      </w:pPr>
    </w:p>
    <w:p w14:paraId="157637BA" w14:textId="77777777" w:rsidR="00E96C07" w:rsidRDefault="00E96C07">
      <w:pPr>
        <w:pStyle w:val="BodyText"/>
        <w:spacing w:before="11"/>
        <w:rPr>
          <w:sz w:val="23"/>
        </w:rPr>
      </w:pPr>
    </w:p>
    <w:p w14:paraId="7137C21E" w14:textId="2CA05B3F" w:rsidR="00B41B8D" w:rsidRDefault="00A61EB3">
      <w:pPr>
        <w:pStyle w:val="BodyText"/>
        <w:spacing w:before="11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204E9E87" wp14:editId="4D03FA26">
                <wp:simplePos x="0" y="0"/>
                <wp:positionH relativeFrom="page">
                  <wp:posOffset>1079500</wp:posOffset>
                </wp:positionH>
                <wp:positionV relativeFrom="paragraph">
                  <wp:posOffset>210185</wp:posOffset>
                </wp:positionV>
                <wp:extent cx="1830070" cy="698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C6803" id="Rectangle 3" o:spid="_x0000_s1026" style="position:absolute;margin-left:85pt;margin-top:16.55pt;width:144.1pt;height:.55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5C2F224" w14:textId="77777777" w:rsidR="00B41B8D" w:rsidRPr="00E71413" w:rsidRDefault="009B57C6" w:rsidP="00E71413">
      <w:pPr>
        <w:ind w:right="539"/>
        <w:jc w:val="both"/>
        <w:rPr>
          <w:sz w:val="18"/>
          <w:szCs w:val="18"/>
        </w:rPr>
      </w:pPr>
      <w:r w:rsidRPr="00E71413">
        <w:rPr>
          <w:sz w:val="18"/>
          <w:szCs w:val="18"/>
          <w:vertAlign w:val="superscript"/>
        </w:rPr>
        <w:t>3</w:t>
      </w:r>
      <w:r w:rsidRPr="00E71413">
        <w:rPr>
          <w:sz w:val="18"/>
          <w:szCs w:val="18"/>
        </w:rPr>
        <w:t xml:space="preserve"> Atitinkamų metų spalio 1 dienos visų darbuotojų (dėstytojų ir kito personalo) duomenys gaunami iš Nacionalinės švietimo agentūros.</w:t>
      </w:r>
    </w:p>
    <w:p w14:paraId="32D02D31" w14:textId="77777777" w:rsidR="00B41B8D" w:rsidRPr="00E71413" w:rsidRDefault="009B57C6" w:rsidP="00E71413">
      <w:pPr>
        <w:ind w:right="581"/>
        <w:jc w:val="both"/>
        <w:rPr>
          <w:sz w:val="18"/>
          <w:szCs w:val="18"/>
        </w:rPr>
        <w:sectPr w:rsidR="00B41B8D" w:rsidRPr="00E71413">
          <w:footerReference w:type="default" r:id="rId8"/>
          <w:pgSz w:w="11906" w:h="16838"/>
          <w:pgMar w:top="1040" w:right="460" w:bottom="980" w:left="1520" w:header="0" w:footer="787" w:gutter="0"/>
          <w:cols w:space="1296"/>
          <w:formProt w:val="0"/>
          <w:docGrid w:linePitch="100" w:charSpace="4096"/>
        </w:sectPr>
      </w:pPr>
      <w:r w:rsidRPr="00E71413">
        <w:rPr>
          <w:sz w:val="18"/>
          <w:szCs w:val="18"/>
          <w:vertAlign w:val="superscript"/>
        </w:rPr>
        <w:t>4</w:t>
      </w:r>
      <w:r w:rsidRPr="00E71413">
        <w:rPr>
          <w:sz w:val="18"/>
          <w:szCs w:val="18"/>
        </w:rPr>
        <w:t xml:space="preserve"> Dvikryptiškumo rodikliui naudojami atvykstančių darbuotojų duomenys iš Europos Komisijos „Mobility Tool+” sistemos</w:t>
      </w:r>
    </w:p>
    <w:p w14:paraId="776280AC" w14:textId="0E57D898" w:rsidR="00B41B8D" w:rsidRDefault="00626466">
      <w:pPr>
        <w:pStyle w:val="Heading1"/>
        <w:spacing w:before="36"/>
        <w:ind w:left="2580" w:right="387" w:hanging="2108"/>
      </w:pPr>
      <w:r>
        <w:lastRenderedPageBreak/>
        <w:t xml:space="preserve">2021 M. </w:t>
      </w:r>
      <w:r w:rsidR="009B57C6">
        <w:t xml:space="preserve">LĖŠŲ, SKIRTŲ „ERASMUS+“ AUKŠTŲJŲ MOKYKLŲ STUDENTŲ IR DARBUOTOJŲ MOBILUMUI, </w:t>
      </w:r>
      <w:r w:rsidR="00FA5FD1">
        <w:t xml:space="preserve">PASKIRSTYMO </w:t>
      </w:r>
      <w:r w:rsidR="009B57C6">
        <w:t xml:space="preserve">METODIKA </w:t>
      </w:r>
    </w:p>
    <w:p w14:paraId="18EF3874" w14:textId="77777777" w:rsidR="00B41B8D" w:rsidRDefault="00B41B8D">
      <w:pPr>
        <w:pStyle w:val="BodyText"/>
        <w:spacing w:before="7"/>
        <w:rPr>
          <w:b/>
          <w:sz w:val="23"/>
        </w:rPr>
      </w:pPr>
    </w:p>
    <w:p w14:paraId="6E105F02" w14:textId="54AE90D1" w:rsidR="001968D5" w:rsidRDefault="001968D5" w:rsidP="002B0788">
      <w:pPr>
        <w:pStyle w:val="BodyText"/>
        <w:spacing w:line="362" w:lineRule="auto"/>
        <w:ind w:left="179" w:right="92" w:firstLine="427"/>
        <w:jc w:val="both"/>
      </w:pPr>
      <w:r>
        <w:t>Europos Komisijos ir valstybės biudžeto lėšos, skirtos studentų mobilumui, institucijoms paskirstomos, lėšas padalinus į tris dalis, kurių dydžiai yra 15, 45, 40 proc.</w:t>
      </w:r>
      <w:r w:rsidR="004772C7">
        <w:t xml:space="preserve"> </w:t>
      </w:r>
      <w:r>
        <w:rPr>
          <w:bCs/>
        </w:rPr>
        <w:t>Šios lėšų dalys institucijoms paskirstomos atsižvelgus į:</w:t>
      </w:r>
    </w:p>
    <w:p w14:paraId="0519CB10" w14:textId="77777777" w:rsidR="001968D5" w:rsidRDefault="001968D5" w:rsidP="001968D5">
      <w:pPr>
        <w:ind w:firstLine="454"/>
        <w:jc w:val="both"/>
        <w:outlineLvl w:val="0"/>
      </w:pPr>
      <w:r>
        <w:rPr>
          <w:bCs/>
        </w:rPr>
        <w:t>1. siųstinų studentų skaičių institucijoje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bCs/>
        </w:rPr>
        <w:t>);</w:t>
      </w:r>
    </w:p>
    <w:p w14:paraId="498FD7B0" w14:textId="77777777" w:rsidR="001968D5" w:rsidRDefault="001968D5" w:rsidP="001968D5">
      <w:pPr>
        <w:ind w:firstLine="454"/>
        <w:jc w:val="both"/>
        <w:outlineLvl w:val="0"/>
      </w:pPr>
      <w:r>
        <w:rPr>
          <w:bCs/>
        </w:rPr>
        <w:t>2. institucijos studentų mobilumo pasiekimų rodiklį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bCs/>
        </w:rPr>
        <w:t>);</w:t>
      </w:r>
    </w:p>
    <w:p w14:paraId="2E526197" w14:textId="77777777" w:rsidR="001968D5" w:rsidRDefault="001968D5" w:rsidP="001968D5">
      <w:pPr>
        <w:ind w:firstLine="454"/>
        <w:jc w:val="both"/>
        <w:outlineLvl w:val="0"/>
      </w:pPr>
      <w:r>
        <w:rPr>
          <w:bCs/>
        </w:rPr>
        <w:t>3. institucijos studentų mobilumo dvikryptiškumo rodiklį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bCs/>
        </w:rPr>
        <w:t>);</w:t>
      </w:r>
    </w:p>
    <w:p w14:paraId="2976B1DA" w14:textId="77777777" w:rsidR="001968D5" w:rsidRDefault="001968D5" w:rsidP="001968D5">
      <w:pPr>
        <w:jc w:val="both"/>
        <w:outlineLvl w:val="0"/>
        <w:rPr>
          <w:bCs/>
        </w:rPr>
      </w:pPr>
    </w:p>
    <w:p w14:paraId="7B247626" w14:textId="77777777" w:rsidR="00FB3771" w:rsidRPr="00E96C07" w:rsidRDefault="001968D5" w:rsidP="001968D5">
      <w:pPr>
        <w:numPr>
          <w:ilvl w:val="0"/>
          <w:numId w:val="4"/>
        </w:numPr>
        <w:jc w:val="both"/>
        <w:outlineLvl w:val="0"/>
      </w:pPr>
      <w:r>
        <w:rPr>
          <w:b/>
          <w:bCs/>
        </w:rPr>
        <w:t xml:space="preserve">Lėšų dalis, tenkanti </w:t>
      </w:r>
      <m:oMath>
        <m:r>
          <w:rPr>
            <w:rFonts w:ascii="Cambria Math" w:hAnsi="Cambria Math"/>
          </w:rPr>
          <m:t>i</m:t>
        </m:r>
      </m:oMath>
      <w:r>
        <w:rPr>
          <w:b/>
          <w:bCs/>
        </w:rPr>
        <w:t>-ajai institucijai pagal siųstinų studentų skaičių</w:t>
      </w:r>
      <w:r>
        <w:rPr>
          <w:bCs/>
        </w:rPr>
        <w:t>, apskaičiuojama taip:</w:t>
      </w:r>
    </w:p>
    <w:p w14:paraId="4991C36C" w14:textId="40D57A94" w:rsidR="001968D5" w:rsidRDefault="001968D5" w:rsidP="00E96C07">
      <w:pPr>
        <w:ind w:left="720"/>
        <w:jc w:val="both"/>
        <w:outlineLvl w:val="0"/>
      </w:pPr>
      <w:r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lit/>
            <m:nor/>
          </m:rPr>
          <w:rPr>
            <w:rFonts w:ascii="Cambria Math" w:hAnsi="Cambria Math"/>
          </w:rPr>
          <m:t>LDS</m:t>
        </m:r>
      </m:oMath>
      <w:r>
        <w:rPr>
          <w:b/>
          <w:bCs/>
        </w:rPr>
        <w:t>,</w:t>
      </w:r>
      <w:r>
        <w:rPr>
          <w:bCs/>
        </w:rPr>
        <w:t xml:space="preserve"> čia:</w:t>
      </w:r>
    </w:p>
    <w:p w14:paraId="7802EE28" w14:textId="77777777" w:rsidR="001968D5" w:rsidRDefault="001968D5" w:rsidP="001968D5">
      <w:pPr>
        <w:jc w:val="both"/>
        <w:outlineLvl w:val="0"/>
      </w:pPr>
      <m:oMath>
        <m:r>
          <m:rPr>
            <m:lit/>
            <m:nor/>
          </m:rPr>
          <w:rPr>
            <w:rFonts w:ascii="Cambria Math" w:hAnsi="Cambria Math"/>
          </w:rPr>
          <m:t>LDS</m:t>
        </m:r>
      </m:oMath>
      <w:r>
        <w:rPr>
          <w:bCs/>
        </w:rPr>
        <w:t xml:space="preserve"> – lėšų dalis, padalintina pagal siųstinų studentų skaičių institucijose,</w:t>
      </w:r>
    </w:p>
    <w:p w14:paraId="23777243" w14:textId="77777777" w:rsidR="001968D5" w:rsidRDefault="0036325D" w:rsidP="001968D5">
      <w:pPr>
        <w:jc w:val="both"/>
        <w:outlineLvl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 xml:space="preserve">-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 xml:space="preserve">-osios institucijos siųstinų studentų skaičius 2020 m., t. y.: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20</m:t>
            </m:r>
          </m:sup>
        </m:sSubSup>
      </m:oMath>
    </w:p>
    <w:p w14:paraId="38674663" w14:textId="77777777" w:rsidR="001968D5" w:rsidRDefault="0036325D" w:rsidP="001968D5">
      <w:pPr>
        <w:jc w:val="both"/>
        <w:outlineLvl w:val="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sup>
        </m:sSup>
      </m:oMath>
      <w:r w:rsidR="001968D5">
        <w:rPr>
          <w:bCs/>
        </w:rPr>
        <w:t xml:space="preserve"> – normavimo daugiklis, kuris apskaičiuojamas taip: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sup>
        </m:sSup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SSS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="001968D5">
        <w:rPr>
          <w:bCs/>
        </w:rPr>
        <w:t>.</w:t>
      </w:r>
    </w:p>
    <w:p w14:paraId="6D0419D5" w14:textId="77777777" w:rsidR="001968D5" w:rsidRDefault="001968D5" w:rsidP="001968D5">
      <w:pPr>
        <w:jc w:val="both"/>
        <w:outlineLvl w:val="0"/>
        <w:rPr>
          <w:bCs/>
        </w:rPr>
      </w:pPr>
    </w:p>
    <w:p w14:paraId="515FE05C" w14:textId="47F68D13" w:rsidR="001968D5" w:rsidRDefault="001968D5" w:rsidP="001968D5">
      <w:pPr>
        <w:numPr>
          <w:ilvl w:val="0"/>
          <w:numId w:val="4"/>
        </w:numPr>
        <w:jc w:val="both"/>
        <w:outlineLvl w:val="0"/>
      </w:pPr>
      <w:r>
        <w:rPr>
          <w:b/>
          <w:bCs/>
        </w:rPr>
        <w:t xml:space="preserve">Lėšų dalis, tenkanti </w:t>
      </w:r>
      <m:oMath>
        <m:r>
          <w:rPr>
            <w:rFonts w:ascii="Cambria Math" w:hAnsi="Cambria Math"/>
          </w:rPr>
          <m:t>i</m:t>
        </m:r>
      </m:oMath>
      <w:r>
        <w:rPr>
          <w:b/>
          <w:bCs/>
        </w:rPr>
        <w:t>-ajai institucijai pagal institucijos studentų mobilumo pasiekimų rodiklį</w:t>
      </w:r>
      <w:r>
        <w:rPr>
          <w:bCs/>
        </w:rPr>
        <w:t xml:space="preserve">, apskaičiuojama taip: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LMP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lit/>
            <m:nor/>
          </m:rPr>
          <w:rPr>
            <w:rFonts w:ascii="Cambria Math" w:hAnsi="Cambria Math"/>
          </w:rPr>
          <m:t>LDP</m:t>
        </m:r>
      </m:oMath>
      <w:r>
        <w:rPr>
          <w:bCs/>
        </w:rPr>
        <w:t>, čia</w:t>
      </w:r>
      <w:r w:rsidR="004772C7">
        <w:rPr>
          <w:bCs/>
        </w:rPr>
        <w:t>:</w:t>
      </w:r>
      <w:r>
        <w:rPr>
          <w:bCs/>
        </w:rPr>
        <w:t xml:space="preserve"> </w:t>
      </w:r>
    </w:p>
    <w:p w14:paraId="662F1D7C" w14:textId="77777777" w:rsidR="001968D5" w:rsidRDefault="001968D5" w:rsidP="001968D5">
      <w:pPr>
        <w:jc w:val="both"/>
        <w:outlineLvl w:val="0"/>
      </w:pPr>
      <m:oMath>
        <m:r>
          <m:rPr>
            <m:lit/>
            <m:nor/>
          </m:rPr>
          <w:rPr>
            <w:rFonts w:ascii="Cambria Math" w:hAnsi="Cambria Math"/>
          </w:rPr>
          <m:t>LDP</m:t>
        </m:r>
      </m:oMath>
      <w:r>
        <w:rPr>
          <w:bCs/>
        </w:rPr>
        <w:t xml:space="preserve"> – lėšų dalis, padalintina pagal institucijos studentų mobilumo pasiekimus,</w:t>
      </w:r>
    </w:p>
    <w:p w14:paraId="388B05C0" w14:textId="77777777" w:rsidR="001968D5" w:rsidRDefault="0036325D" w:rsidP="001968D5">
      <w:pPr>
        <w:jc w:val="both"/>
        <w:outlineLvl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 xml:space="preserve">-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>-osios institucijos siųstinų studentų skaičius 2020 m.,</w:t>
      </w:r>
    </w:p>
    <w:p w14:paraId="48685936" w14:textId="77777777" w:rsidR="001968D5" w:rsidRDefault="0036325D" w:rsidP="001968D5">
      <w:pPr>
        <w:jc w:val="both"/>
        <w:outlineLvl w:val="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sup>
        </m:sSup>
      </m:oMath>
      <w:r w:rsidR="001968D5">
        <w:rPr>
          <w:bCs/>
        </w:rPr>
        <w:t xml:space="preserve"> – normavimo daugiklis, kuris apskaičiuojamas taip: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sup>
        </m:sSup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SMP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>,</w:t>
      </w:r>
    </w:p>
    <w:p w14:paraId="66334AE0" w14:textId="77777777" w:rsidR="001968D5" w:rsidRDefault="0036325D" w:rsidP="001968D5">
      <w:pPr>
        <w:jc w:val="both"/>
        <w:outlineLvl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 xml:space="preserve"> –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 xml:space="preserve">-osios institucijos studentų mobilumo pasiekimų rodiklis, kuris apskaičiuojamas taip: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ISS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den>
                        </m:f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SSS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den>
                        </m:f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ISS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19</m:t>
                            </m:r>
                          </m:den>
                        </m:f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SSS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19</m:t>
                            </m:r>
                          </m:den>
                        </m:f>
                      </m:sup>
                    </m:sSubSup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968D5">
        <w:rPr>
          <w:bCs/>
        </w:rPr>
        <w:t xml:space="preserve">, čia </w:t>
      </w:r>
    </w:p>
    <w:p w14:paraId="58CC608B" w14:textId="77777777" w:rsidR="001968D5" w:rsidRDefault="0036325D" w:rsidP="001968D5">
      <w:pPr>
        <w:jc w:val="both"/>
        <w:outlineLvl w:val="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17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den>
            </m:f>
          </m:sup>
        </m:sSubSup>
      </m:oMath>
      <w:r w:rsidR="001968D5">
        <w:rPr>
          <w:bCs/>
        </w:rPr>
        <w:t xml:space="preserve"> ir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19</m:t>
                </m:r>
              </m:den>
            </m:f>
          </m:sup>
        </m:sSubSup>
      </m:oMath>
      <w:r w:rsidR="001968D5">
        <w:rPr>
          <w:bCs/>
        </w:rPr>
        <w:t xml:space="preserve"> –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 xml:space="preserve">-osios institucijos siųstinų studentų skaičius atitinkamai 2017-2018 m. m. ir 2018-2019 m. m., </w:t>
      </w:r>
    </w:p>
    <w:p w14:paraId="33A0A74A" w14:textId="77777777" w:rsidR="001968D5" w:rsidRDefault="0036325D" w:rsidP="001968D5">
      <w:pPr>
        <w:jc w:val="both"/>
        <w:outlineLvl w:val="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ISS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17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den>
            </m:f>
          </m:sup>
        </m:sSubSup>
      </m:oMath>
      <w:r w:rsidR="001968D5">
        <w:rPr>
          <w:bCs/>
        </w:rPr>
        <w:t xml:space="preserve">ir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ISS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19</m:t>
                </m:r>
              </m:den>
            </m:f>
          </m:sup>
        </m:sSubSup>
      </m:oMath>
      <w:r w:rsidR="001968D5">
        <w:rPr>
          <w:bCs/>
        </w:rPr>
        <w:t xml:space="preserve">  –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>-osios institucijos išsiųstų studentų skaičius, atitinkamai 2017-2018 m. m. ir 2018-2019 m. m.</w:t>
      </w:r>
    </w:p>
    <w:p w14:paraId="39BB89FD" w14:textId="77777777" w:rsidR="001968D5" w:rsidRDefault="001968D5" w:rsidP="001968D5">
      <w:pPr>
        <w:jc w:val="center"/>
        <w:outlineLvl w:val="0"/>
        <w:rPr>
          <w:bCs/>
        </w:rPr>
      </w:pPr>
    </w:p>
    <w:p w14:paraId="6AA986CC" w14:textId="7C80FA81" w:rsidR="001968D5" w:rsidRDefault="001968D5" w:rsidP="001968D5">
      <w:pPr>
        <w:numPr>
          <w:ilvl w:val="0"/>
          <w:numId w:val="4"/>
        </w:numPr>
        <w:jc w:val="both"/>
        <w:outlineLvl w:val="0"/>
      </w:pPr>
      <w:r>
        <w:rPr>
          <w:b/>
          <w:bCs/>
        </w:rPr>
        <w:t xml:space="preserve">Lėšų dalis, tenkanti </w:t>
      </w:r>
      <m:oMath>
        <m:r>
          <w:rPr>
            <w:rFonts w:ascii="Cambria Math" w:hAnsi="Cambria Math"/>
          </w:rPr>
          <m:t>i</m:t>
        </m:r>
      </m:oMath>
      <w:r>
        <w:rPr>
          <w:b/>
          <w:bCs/>
        </w:rPr>
        <w:t>-ajai institucijai pagal institucijos studentų mobilumo dvikryptiškumo rodiklį</w:t>
      </w:r>
      <w:r>
        <w:rPr>
          <w:bCs/>
        </w:rPr>
        <w:t xml:space="preserve">, apskaičiuojama taip: </w:t>
      </w:r>
      <w:r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LMD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lit/>
            <m:nor/>
          </m:rPr>
          <w:rPr>
            <w:rFonts w:ascii="Cambria Math" w:hAnsi="Cambria Math"/>
          </w:rPr>
          <m:t>LDD</m:t>
        </m:r>
      </m:oMath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čia</w:t>
      </w:r>
      <w:r w:rsidR="004772C7">
        <w:rPr>
          <w:bCs/>
        </w:rPr>
        <w:t>:</w:t>
      </w:r>
    </w:p>
    <w:p w14:paraId="04A542CA" w14:textId="77777777" w:rsidR="001968D5" w:rsidRDefault="001968D5" w:rsidP="001968D5">
      <w:pPr>
        <w:jc w:val="both"/>
        <w:outlineLvl w:val="0"/>
      </w:pPr>
      <m:oMath>
        <m:r>
          <m:rPr>
            <m:lit/>
            <m:nor/>
          </m:rPr>
          <w:rPr>
            <w:rFonts w:ascii="Cambria Math" w:hAnsi="Cambria Math"/>
          </w:rPr>
          <m:t>LDD</m:t>
        </m:r>
      </m:oMath>
      <w:r>
        <w:rPr>
          <w:bCs/>
        </w:rPr>
        <w:t xml:space="preserve"> – lėšų dalis, padalintina pagal institucijos studentų mobilumo dvikryptiškumą,</w:t>
      </w:r>
    </w:p>
    <w:p w14:paraId="52FFEA77" w14:textId="77777777" w:rsidR="001968D5" w:rsidRDefault="0036325D" w:rsidP="001968D5">
      <w:pPr>
        <w:jc w:val="both"/>
        <w:outlineLvl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 xml:space="preserve">-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>-osios institucijos siųstinų studentų skaičius 2020 m.,</w:t>
      </w:r>
    </w:p>
    <w:p w14:paraId="3ED2C214" w14:textId="77777777" w:rsidR="001968D5" w:rsidRDefault="0036325D" w:rsidP="001968D5">
      <w:pPr>
        <w:jc w:val="both"/>
        <w:outlineLvl w:val="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sup>
        </m:sSup>
      </m:oMath>
      <w:r w:rsidR="001968D5">
        <w:rPr>
          <w:bCs/>
        </w:rPr>
        <w:t xml:space="preserve"> – normavimo daugiklis, kuris apskaičiuojamas taip: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sup>
        </m:sSup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SMD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>,</w:t>
      </w:r>
    </w:p>
    <w:p w14:paraId="366C53DB" w14:textId="77777777" w:rsidR="001968D5" w:rsidRDefault="0036325D" w:rsidP="001968D5">
      <w:pPr>
        <w:jc w:val="both"/>
        <w:outlineLvl w:val="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68D5">
        <w:rPr>
          <w:bCs/>
        </w:rPr>
        <w:t xml:space="preserve"> –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 xml:space="preserve">-osios institucijos studentų mobilumo dvikryptiškumo rodiklis, kuris apskaičiuojamas taip: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SMD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PSS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den>
                        </m:f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ISS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17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den>
                        </m:f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PSS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19</m:t>
                            </m:r>
                          </m:den>
                        </m:f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ISS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18</m:t>
                            </m:r>
                          </m:num>
                          <m:den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19</m:t>
                            </m:r>
                          </m:den>
                        </m:f>
                      </m:sup>
                    </m:sSubSup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968D5">
        <w:rPr>
          <w:bCs/>
        </w:rPr>
        <w:t xml:space="preserve">, čia </w:t>
      </w:r>
    </w:p>
    <w:p w14:paraId="74D9C32F" w14:textId="77777777" w:rsidR="001968D5" w:rsidRDefault="0036325D" w:rsidP="001968D5">
      <w:pPr>
        <w:jc w:val="both"/>
        <w:outlineLvl w:val="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PSS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17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den>
            </m:f>
          </m:sup>
        </m:sSubSup>
      </m:oMath>
      <w:r w:rsidR="001968D5">
        <w:rPr>
          <w:bCs/>
        </w:rPr>
        <w:t xml:space="preserve"> ir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PSS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19</m:t>
                </m:r>
              </m:den>
            </m:f>
          </m:sup>
        </m:sSubSup>
      </m:oMath>
      <w:r w:rsidR="001968D5">
        <w:rPr>
          <w:bCs/>
        </w:rPr>
        <w:t xml:space="preserve">  – priimtų studentų skaičius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 xml:space="preserve">-ojoje institucijoje, atitinkamai 2017-2018 m. m. ir 2018-2019 m. m., </w:t>
      </w:r>
    </w:p>
    <w:p w14:paraId="6121DEFA" w14:textId="77777777" w:rsidR="001968D5" w:rsidRDefault="0036325D" w:rsidP="001968D5">
      <w:pPr>
        <w:jc w:val="both"/>
        <w:outlineLvl w:val="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ISS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17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den>
            </m:f>
          </m:sup>
        </m:sSubSup>
      </m:oMath>
      <w:r w:rsidR="001968D5">
        <w:rPr>
          <w:bCs/>
        </w:rPr>
        <w:t xml:space="preserve"> ir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lit/>
                <m:nor/>
              </m:rPr>
              <w:rPr>
                <w:rFonts w:ascii="Cambria Math" w:hAnsi="Cambria Math"/>
              </w:rPr>
              <m:t>ISS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18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19</m:t>
                </m:r>
              </m:den>
            </m:f>
          </m:sup>
        </m:sSubSup>
      </m:oMath>
      <w:r w:rsidR="001968D5">
        <w:rPr>
          <w:bCs/>
        </w:rPr>
        <w:t xml:space="preserve"> – </w:t>
      </w:r>
      <m:oMath>
        <m:r>
          <w:rPr>
            <w:rFonts w:ascii="Cambria Math" w:hAnsi="Cambria Math"/>
          </w:rPr>
          <m:t>i</m:t>
        </m:r>
      </m:oMath>
      <w:r w:rsidR="001968D5">
        <w:rPr>
          <w:bCs/>
        </w:rPr>
        <w:t xml:space="preserve">-osios institucijos išsiųstų studentų skaičius, atitinkamai 2017-2018 m. m. ir 2018-2019 m. m. </w:t>
      </w:r>
    </w:p>
    <w:p w14:paraId="6B74153A" w14:textId="77777777" w:rsidR="001968D5" w:rsidRDefault="001968D5" w:rsidP="001968D5">
      <w:pPr>
        <w:ind w:firstLine="454"/>
        <w:jc w:val="both"/>
        <w:outlineLvl w:val="0"/>
        <w:rPr>
          <w:bCs/>
        </w:rPr>
      </w:pPr>
    </w:p>
    <w:p w14:paraId="5F5F4E4D" w14:textId="77777777" w:rsidR="001968D5" w:rsidRDefault="001968D5" w:rsidP="001968D5">
      <w:pPr>
        <w:jc w:val="both"/>
        <w:outlineLvl w:val="0"/>
      </w:pPr>
      <w:r>
        <w:rPr>
          <w:b/>
          <w:bCs/>
        </w:rPr>
        <w:t xml:space="preserve">Lėšos, skirtos </w:t>
      </w:r>
      <m:oMath>
        <m:r>
          <w:rPr>
            <w:rFonts w:ascii="Cambria Math" w:hAnsi="Cambria Math"/>
          </w:rPr>
          <m:t>i</m:t>
        </m:r>
      </m:oMath>
      <w:r>
        <w:rPr>
          <w:b/>
          <w:bCs/>
        </w:rPr>
        <w:t>-osios institucijos studentų mobilumui, apskaičiuojamos, susumavus lėšas</w:t>
      </w:r>
      <w:r>
        <w:rPr>
          <w:bCs/>
        </w:rPr>
        <w:t xml:space="preserve">, jai tekusias pagal tris rodiklius: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LSM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LSS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LMP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LMD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bCs/>
        </w:rPr>
        <w:t>.</w:t>
      </w:r>
    </w:p>
    <w:p w14:paraId="664BC01B" w14:textId="77777777" w:rsidR="001968D5" w:rsidRDefault="001968D5" w:rsidP="001968D5">
      <w:pPr>
        <w:jc w:val="both"/>
        <w:outlineLvl w:val="0"/>
        <w:rPr>
          <w:bCs/>
        </w:rPr>
      </w:pPr>
    </w:p>
    <w:p w14:paraId="0315A760" w14:textId="77777777" w:rsidR="001968D5" w:rsidRDefault="001968D5" w:rsidP="001968D5">
      <w:pPr>
        <w:jc w:val="both"/>
        <w:outlineLvl w:val="0"/>
      </w:pPr>
      <w:r>
        <w:rPr>
          <w:bCs/>
        </w:rPr>
        <w:t>Lėšos, skirtos darbuotojų mobilumui, apskaičiuojamos naudojant identiškas formules.</w:t>
      </w:r>
    </w:p>
    <w:p w14:paraId="289FF4A0" w14:textId="3508D05A" w:rsidR="00B41B8D" w:rsidRDefault="00B41B8D" w:rsidP="001968D5">
      <w:pPr>
        <w:pStyle w:val="BodyText"/>
        <w:spacing w:line="362" w:lineRule="auto"/>
        <w:ind w:left="179" w:right="92" w:firstLine="427"/>
      </w:pPr>
    </w:p>
    <w:sectPr w:rsidR="00B41B8D">
      <w:footerReference w:type="default" r:id="rId9"/>
      <w:pgSz w:w="11906" w:h="16838"/>
      <w:pgMar w:top="1080" w:right="460" w:bottom="980" w:left="1520" w:header="0" w:footer="787" w:gutter="0"/>
      <w:cols w:space="1296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EF0A" w14:textId="77777777" w:rsidR="0036325D" w:rsidRDefault="0036325D">
      <w:r>
        <w:separator/>
      </w:r>
    </w:p>
  </w:endnote>
  <w:endnote w:type="continuationSeparator" w:id="0">
    <w:p w14:paraId="5FDC5444" w14:textId="77777777" w:rsidR="0036325D" w:rsidRDefault="003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2E52" w14:textId="1804AE75" w:rsidR="00B41B8D" w:rsidRDefault="00A61EB3">
    <w:pPr>
      <w:pStyle w:val="BodyText"/>
      <w:spacing w:line="12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0E544" wp14:editId="358059E0">
              <wp:simplePos x="0" y="0"/>
              <wp:positionH relativeFrom="page">
                <wp:posOffset>7087870</wp:posOffset>
              </wp:positionH>
              <wp:positionV relativeFrom="page">
                <wp:posOffset>10053320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A84526" w14:textId="77777777" w:rsidR="00B41B8D" w:rsidRPr="009436DD" w:rsidRDefault="009B57C6">
                          <w:pPr>
                            <w:pStyle w:val="BodyText"/>
                            <w:spacing w:before="10"/>
                            <w:ind w:left="60"/>
                            <w:rPr>
                              <w:sz w:val="22"/>
                              <w:szCs w:val="22"/>
                            </w:rPr>
                          </w:pPr>
                          <w:r w:rsidRPr="009436DD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436DD">
                            <w:rPr>
                              <w:sz w:val="22"/>
                              <w:szCs w:val="22"/>
                            </w:rPr>
                            <w:instrText>PAGE</w:instrText>
                          </w:r>
                          <w:r w:rsidRPr="009436DD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67C1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9436DD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0E5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1pt;margin-top:791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" filled="f" stroked="f">
              <v:path arrowok="t"/>
              <v:textbox inset="0,0,0,0">
                <w:txbxContent>
                  <w:p w14:paraId="6FA84526" w14:textId="77777777" w:rsidR="00B41B8D" w:rsidRPr="009436DD" w:rsidRDefault="009B57C6">
                    <w:pPr>
                      <w:pStyle w:val="BodyText"/>
                      <w:spacing w:before="10"/>
                      <w:ind w:left="60"/>
                      <w:rPr>
                        <w:sz w:val="22"/>
                        <w:szCs w:val="22"/>
                      </w:rPr>
                    </w:pPr>
                    <w:r w:rsidRPr="009436DD">
                      <w:rPr>
                        <w:sz w:val="22"/>
                        <w:szCs w:val="22"/>
                      </w:rPr>
                      <w:fldChar w:fldCharType="begin"/>
                    </w:r>
                    <w:r w:rsidRPr="009436DD">
                      <w:rPr>
                        <w:sz w:val="22"/>
                        <w:szCs w:val="22"/>
                      </w:rPr>
                      <w:instrText>PAGE</w:instrText>
                    </w:r>
                    <w:r w:rsidRPr="009436DD">
                      <w:rPr>
                        <w:sz w:val="22"/>
                        <w:szCs w:val="22"/>
                      </w:rPr>
                      <w:fldChar w:fldCharType="separate"/>
                    </w:r>
                    <w:r w:rsidR="00067C10"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009436DD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AD4B" w14:textId="420FCA21" w:rsidR="00B41B8D" w:rsidRDefault="009436DD" w:rsidP="009436DD">
    <w:pPr>
      <w:pStyle w:val="Footer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2EC60" w14:textId="0DEE3015" w:rsidR="00B41B8D" w:rsidRDefault="009436DD" w:rsidP="009436DD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63C6" w14:textId="77777777" w:rsidR="0036325D" w:rsidRDefault="0036325D">
      <w:r>
        <w:separator/>
      </w:r>
    </w:p>
  </w:footnote>
  <w:footnote w:type="continuationSeparator" w:id="0">
    <w:p w14:paraId="288D676F" w14:textId="77777777" w:rsidR="0036325D" w:rsidRDefault="0036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49D"/>
    <w:multiLevelType w:val="multilevel"/>
    <w:tmpl w:val="FA509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8A1E29"/>
    <w:multiLevelType w:val="multilevel"/>
    <w:tmpl w:val="09DCAD10"/>
    <w:lvl w:ilvl="0">
      <w:start w:val="1"/>
      <w:numFmt w:val="decimal"/>
      <w:lvlText w:val="%1."/>
      <w:lvlJc w:val="left"/>
      <w:pPr>
        <w:ind w:left="492" w:hanging="255"/>
      </w:pPr>
      <w:rPr>
        <w:rFonts w:eastAsia="Carlito" w:cs="Carlito"/>
        <w:b w:val="0"/>
        <w:i w:val="0"/>
        <w:spacing w:val="-2"/>
        <w:w w:val="100"/>
        <w:sz w:val="24"/>
        <w:szCs w:val="24"/>
        <w:lang w:val="lt-LT" w:eastAsia="en-US" w:bidi="ar-SA"/>
      </w:rPr>
    </w:lvl>
    <w:lvl w:ilvl="1">
      <w:start w:val="1"/>
      <w:numFmt w:val="bullet"/>
      <w:lvlText w:val=""/>
      <w:lvlJc w:val="left"/>
      <w:pPr>
        <w:ind w:left="1221" w:hanging="360"/>
      </w:pPr>
      <w:rPr>
        <w:rFonts w:ascii="Symbol" w:hAnsi="Symbol" w:cs="Symbol" w:hint="default"/>
        <w:b/>
        <w:w w:val="100"/>
        <w:sz w:val="24"/>
        <w:szCs w:val="24"/>
        <w:lang w:val="lt-LT" w:eastAsia="en-US" w:bidi="ar-SA"/>
      </w:rPr>
    </w:lvl>
    <w:lvl w:ilvl="2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  <w:lang w:val="lt-LT" w:eastAsia="en-US" w:bidi="ar-SA"/>
      </w:rPr>
    </w:lvl>
    <w:lvl w:ilvl="3">
      <w:start w:val="1"/>
      <w:numFmt w:val="bullet"/>
      <w:lvlText w:val=""/>
      <w:lvlJc w:val="left"/>
      <w:pPr>
        <w:ind w:left="2308" w:hanging="360"/>
      </w:pPr>
      <w:rPr>
        <w:rFonts w:ascii="Symbol" w:hAnsi="Symbol" w:cs="Symbol" w:hint="default"/>
        <w:lang w:val="lt-LT" w:eastAsia="en-US" w:bidi="ar-SA"/>
      </w:rPr>
    </w:lvl>
    <w:lvl w:ilvl="4">
      <w:start w:val="1"/>
      <w:numFmt w:val="bullet"/>
      <w:lvlText w:val=""/>
      <w:lvlJc w:val="left"/>
      <w:pPr>
        <w:ind w:left="3397" w:hanging="360"/>
      </w:pPr>
      <w:rPr>
        <w:rFonts w:ascii="Symbol" w:hAnsi="Symbol" w:cs="Symbol" w:hint="default"/>
        <w:lang w:val="lt-LT" w:eastAsia="en-US" w:bidi="ar-SA"/>
      </w:rPr>
    </w:lvl>
    <w:lvl w:ilvl="5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  <w:lang w:val="lt-LT" w:eastAsia="en-US" w:bidi="ar-SA"/>
      </w:rPr>
    </w:lvl>
    <w:lvl w:ilvl="6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  <w:lang w:val="lt-LT" w:eastAsia="en-US" w:bidi="ar-SA"/>
      </w:rPr>
    </w:lvl>
    <w:lvl w:ilvl="7">
      <w:start w:val="1"/>
      <w:numFmt w:val="bullet"/>
      <w:lvlText w:val=""/>
      <w:lvlJc w:val="left"/>
      <w:pPr>
        <w:ind w:left="6663" w:hanging="360"/>
      </w:pPr>
      <w:rPr>
        <w:rFonts w:ascii="Symbol" w:hAnsi="Symbol" w:cs="Symbol" w:hint="default"/>
        <w:lang w:val="lt-LT" w:eastAsia="en-US" w:bidi="ar-SA"/>
      </w:rPr>
    </w:lvl>
    <w:lvl w:ilvl="8">
      <w:start w:val="1"/>
      <w:numFmt w:val="bullet"/>
      <w:lvlText w:val=""/>
      <w:lvlJc w:val="left"/>
      <w:pPr>
        <w:ind w:left="7751" w:hanging="360"/>
      </w:pPr>
      <w:rPr>
        <w:rFonts w:ascii="Symbol" w:hAnsi="Symbol" w:cs="Symbol" w:hint="default"/>
        <w:lang w:val="lt-LT" w:eastAsia="en-US" w:bidi="ar-SA"/>
      </w:rPr>
    </w:lvl>
  </w:abstractNum>
  <w:abstractNum w:abstractNumId="2" w15:restartNumberingAfterBreak="0">
    <w:nsid w:val="2AEF4AF8"/>
    <w:multiLevelType w:val="multilevel"/>
    <w:tmpl w:val="7B84FA52"/>
    <w:lvl w:ilvl="0">
      <w:start w:val="1"/>
      <w:numFmt w:val="decimal"/>
      <w:lvlText w:val="%1."/>
      <w:lvlJc w:val="left"/>
      <w:pPr>
        <w:ind w:left="720" w:hanging="360"/>
      </w:pPr>
      <w:rPr>
        <w:b/>
        <w:lang w:val="lt-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2D636AF1"/>
    <w:multiLevelType w:val="multilevel"/>
    <w:tmpl w:val="E5AA4DAC"/>
    <w:lvl w:ilvl="0">
      <w:start w:val="1"/>
      <w:numFmt w:val="decimal"/>
      <w:lvlText w:val="%1."/>
      <w:lvlJc w:val="left"/>
      <w:pPr>
        <w:ind w:left="720" w:hanging="360"/>
      </w:pPr>
      <w:rPr>
        <w:b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D"/>
    <w:rsid w:val="00067C10"/>
    <w:rsid w:val="0009100A"/>
    <w:rsid w:val="000B797D"/>
    <w:rsid w:val="001968D5"/>
    <w:rsid w:val="001B57A8"/>
    <w:rsid w:val="001F1AD3"/>
    <w:rsid w:val="0025582B"/>
    <w:rsid w:val="002B0788"/>
    <w:rsid w:val="00321C29"/>
    <w:rsid w:val="0036325D"/>
    <w:rsid w:val="00391F79"/>
    <w:rsid w:val="004315AF"/>
    <w:rsid w:val="00444BD8"/>
    <w:rsid w:val="004772C7"/>
    <w:rsid w:val="004856EB"/>
    <w:rsid w:val="00512AB1"/>
    <w:rsid w:val="00532B9B"/>
    <w:rsid w:val="00565FE5"/>
    <w:rsid w:val="00626466"/>
    <w:rsid w:val="00646769"/>
    <w:rsid w:val="00663AE2"/>
    <w:rsid w:val="006B5086"/>
    <w:rsid w:val="006C34BF"/>
    <w:rsid w:val="006D3EFD"/>
    <w:rsid w:val="006F7982"/>
    <w:rsid w:val="007B6FEE"/>
    <w:rsid w:val="007C73C1"/>
    <w:rsid w:val="0081205D"/>
    <w:rsid w:val="0084487A"/>
    <w:rsid w:val="008B041E"/>
    <w:rsid w:val="008B76AC"/>
    <w:rsid w:val="009135F6"/>
    <w:rsid w:val="009169EF"/>
    <w:rsid w:val="009436DD"/>
    <w:rsid w:val="0095343C"/>
    <w:rsid w:val="009B57C6"/>
    <w:rsid w:val="009E2170"/>
    <w:rsid w:val="009F4520"/>
    <w:rsid w:val="00A1266D"/>
    <w:rsid w:val="00A61EB3"/>
    <w:rsid w:val="00AD0534"/>
    <w:rsid w:val="00B02E6B"/>
    <w:rsid w:val="00B41B8D"/>
    <w:rsid w:val="00B932A6"/>
    <w:rsid w:val="00BC264C"/>
    <w:rsid w:val="00C14189"/>
    <w:rsid w:val="00C24E3A"/>
    <w:rsid w:val="00C70F17"/>
    <w:rsid w:val="00CF1D86"/>
    <w:rsid w:val="00D01503"/>
    <w:rsid w:val="00D93D52"/>
    <w:rsid w:val="00DA75FF"/>
    <w:rsid w:val="00DD091B"/>
    <w:rsid w:val="00E71413"/>
    <w:rsid w:val="00E76182"/>
    <w:rsid w:val="00E96C07"/>
    <w:rsid w:val="00F1724A"/>
    <w:rsid w:val="00F44F6D"/>
    <w:rsid w:val="00F952BE"/>
    <w:rsid w:val="00FA5FD1"/>
    <w:rsid w:val="00FB3771"/>
    <w:rsid w:val="00FC15B1"/>
    <w:rsid w:val="00FE604C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8FCF"/>
  <w15:docId w15:val="{692229A6-C968-4EAA-9727-B82E222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lt-LT"/>
    </w:rPr>
  </w:style>
  <w:style w:type="paragraph" w:styleId="Heading1">
    <w:name w:val="heading 1"/>
    <w:basedOn w:val="Normal"/>
    <w:uiPriority w:val="9"/>
    <w:qFormat/>
    <w:pPr>
      <w:ind w:left="6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rlito" w:cs="Carlito"/>
      <w:b w:val="0"/>
      <w:bCs/>
      <w:spacing w:val="-16"/>
      <w:w w:val="100"/>
      <w:sz w:val="24"/>
      <w:szCs w:val="24"/>
      <w:lang w:val="lt-LT" w:eastAsia="en-US" w:bidi="ar-SA"/>
    </w:rPr>
  </w:style>
  <w:style w:type="character" w:customStyle="1" w:styleId="ListLabel2">
    <w:name w:val="ListLabel 2"/>
    <w:qFormat/>
    <w:rPr>
      <w:lang w:val="lt-LT" w:eastAsia="en-US" w:bidi="ar-SA"/>
    </w:rPr>
  </w:style>
  <w:style w:type="character" w:customStyle="1" w:styleId="ListLabel3">
    <w:name w:val="ListLabel 3"/>
    <w:qFormat/>
    <w:rPr>
      <w:lang w:val="lt-LT" w:eastAsia="en-US" w:bidi="ar-SA"/>
    </w:rPr>
  </w:style>
  <w:style w:type="character" w:customStyle="1" w:styleId="ListLabel4">
    <w:name w:val="ListLabel 4"/>
    <w:qFormat/>
    <w:rPr>
      <w:lang w:val="lt-LT" w:eastAsia="en-US" w:bidi="ar-SA"/>
    </w:rPr>
  </w:style>
  <w:style w:type="character" w:customStyle="1" w:styleId="ListLabel5">
    <w:name w:val="ListLabel 5"/>
    <w:qFormat/>
    <w:rPr>
      <w:lang w:val="lt-LT" w:eastAsia="en-US" w:bidi="ar-SA"/>
    </w:rPr>
  </w:style>
  <w:style w:type="character" w:customStyle="1" w:styleId="ListLabel6">
    <w:name w:val="ListLabel 6"/>
    <w:qFormat/>
    <w:rPr>
      <w:lang w:val="lt-LT" w:eastAsia="en-US" w:bidi="ar-SA"/>
    </w:rPr>
  </w:style>
  <w:style w:type="character" w:customStyle="1" w:styleId="ListLabel7">
    <w:name w:val="ListLabel 7"/>
    <w:qFormat/>
    <w:rPr>
      <w:lang w:val="lt-LT" w:eastAsia="en-US" w:bidi="ar-SA"/>
    </w:rPr>
  </w:style>
  <w:style w:type="character" w:customStyle="1" w:styleId="ListLabel8">
    <w:name w:val="ListLabel 8"/>
    <w:qFormat/>
    <w:rPr>
      <w:lang w:val="lt-LT" w:eastAsia="en-US" w:bidi="ar-SA"/>
    </w:rPr>
  </w:style>
  <w:style w:type="character" w:customStyle="1" w:styleId="ListLabel9">
    <w:name w:val="ListLabel 9"/>
    <w:qFormat/>
    <w:rPr>
      <w:lang w:val="lt-LT" w:eastAsia="en-US" w:bidi="ar-SA"/>
    </w:rPr>
  </w:style>
  <w:style w:type="character" w:customStyle="1" w:styleId="ListLabel10">
    <w:name w:val="ListLabel 10"/>
    <w:qFormat/>
    <w:rPr>
      <w:rFonts w:eastAsia="Carlito" w:cs="Carlito"/>
      <w:spacing w:val="-15"/>
      <w:w w:val="98"/>
      <w:sz w:val="24"/>
      <w:szCs w:val="24"/>
      <w:lang w:val="lt-LT" w:eastAsia="en-US" w:bidi="ar-SA"/>
    </w:rPr>
  </w:style>
  <w:style w:type="character" w:customStyle="1" w:styleId="ListLabel11">
    <w:name w:val="ListLabel 11"/>
    <w:qFormat/>
    <w:rPr>
      <w:lang w:val="lt-LT" w:eastAsia="en-US" w:bidi="ar-SA"/>
    </w:rPr>
  </w:style>
  <w:style w:type="character" w:customStyle="1" w:styleId="ListLabel12">
    <w:name w:val="ListLabel 12"/>
    <w:qFormat/>
    <w:rPr>
      <w:lang w:val="lt-LT" w:eastAsia="en-US" w:bidi="ar-SA"/>
    </w:rPr>
  </w:style>
  <w:style w:type="character" w:customStyle="1" w:styleId="ListLabel13">
    <w:name w:val="ListLabel 13"/>
    <w:qFormat/>
    <w:rPr>
      <w:lang w:val="lt-LT" w:eastAsia="en-US" w:bidi="ar-SA"/>
    </w:rPr>
  </w:style>
  <w:style w:type="character" w:customStyle="1" w:styleId="ListLabel14">
    <w:name w:val="ListLabel 14"/>
    <w:qFormat/>
    <w:rPr>
      <w:lang w:val="lt-LT" w:eastAsia="en-US" w:bidi="ar-SA"/>
    </w:rPr>
  </w:style>
  <w:style w:type="character" w:customStyle="1" w:styleId="ListLabel15">
    <w:name w:val="ListLabel 15"/>
    <w:qFormat/>
    <w:rPr>
      <w:lang w:val="lt-LT" w:eastAsia="en-US" w:bidi="ar-SA"/>
    </w:rPr>
  </w:style>
  <w:style w:type="character" w:customStyle="1" w:styleId="ListLabel16">
    <w:name w:val="ListLabel 16"/>
    <w:qFormat/>
    <w:rPr>
      <w:lang w:val="lt-LT" w:eastAsia="en-US" w:bidi="ar-SA"/>
    </w:rPr>
  </w:style>
  <w:style w:type="character" w:customStyle="1" w:styleId="ListLabel17">
    <w:name w:val="ListLabel 17"/>
    <w:qFormat/>
    <w:rPr>
      <w:lang w:val="lt-LT" w:eastAsia="en-US" w:bidi="ar-SA"/>
    </w:rPr>
  </w:style>
  <w:style w:type="character" w:customStyle="1" w:styleId="ListLabel18">
    <w:name w:val="ListLabel 18"/>
    <w:qFormat/>
    <w:rPr>
      <w:lang w:val="lt-LT" w:eastAsia="en-US" w:bidi="ar-SA"/>
    </w:rPr>
  </w:style>
  <w:style w:type="character" w:customStyle="1" w:styleId="ListLabel19">
    <w:name w:val="ListLabel 19"/>
    <w:qFormat/>
    <w:rPr>
      <w:rFonts w:eastAsia="Carlito" w:cs="Carlito"/>
      <w:b/>
      <w:i w:val="0"/>
      <w:spacing w:val="-2"/>
      <w:w w:val="100"/>
      <w:sz w:val="24"/>
      <w:szCs w:val="24"/>
      <w:lang w:val="lt-LT" w:eastAsia="en-US" w:bidi="ar-SA"/>
    </w:rPr>
  </w:style>
  <w:style w:type="character" w:customStyle="1" w:styleId="ListLabel20">
    <w:name w:val="ListLabel 20"/>
    <w:qFormat/>
    <w:rPr>
      <w:rFonts w:eastAsia="Symbol" w:cs="Symbol"/>
      <w:b/>
      <w:w w:val="100"/>
      <w:sz w:val="24"/>
      <w:szCs w:val="24"/>
      <w:lang w:val="lt-LT" w:eastAsia="en-US" w:bidi="ar-SA"/>
    </w:rPr>
  </w:style>
  <w:style w:type="character" w:customStyle="1" w:styleId="ListLabel21">
    <w:name w:val="ListLabel 21"/>
    <w:qFormat/>
    <w:rPr>
      <w:lang w:val="lt-LT" w:eastAsia="en-US" w:bidi="ar-SA"/>
    </w:rPr>
  </w:style>
  <w:style w:type="character" w:customStyle="1" w:styleId="ListLabel22">
    <w:name w:val="ListLabel 22"/>
    <w:qFormat/>
    <w:rPr>
      <w:lang w:val="lt-LT" w:eastAsia="en-US" w:bidi="ar-SA"/>
    </w:rPr>
  </w:style>
  <w:style w:type="character" w:customStyle="1" w:styleId="ListLabel23">
    <w:name w:val="ListLabel 23"/>
    <w:qFormat/>
    <w:rPr>
      <w:lang w:val="lt-LT" w:eastAsia="en-US" w:bidi="ar-SA"/>
    </w:rPr>
  </w:style>
  <w:style w:type="character" w:customStyle="1" w:styleId="ListLabel24">
    <w:name w:val="ListLabel 24"/>
    <w:qFormat/>
    <w:rPr>
      <w:lang w:val="lt-LT" w:eastAsia="en-US" w:bidi="ar-SA"/>
    </w:rPr>
  </w:style>
  <w:style w:type="character" w:customStyle="1" w:styleId="ListLabel25">
    <w:name w:val="ListLabel 25"/>
    <w:qFormat/>
    <w:rPr>
      <w:lang w:val="lt-LT" w:eastAsia="en-US" w:bidi="ar-SA"/>
    </w:rPr>
  </w:style>
  <w:style w:type="character" w:customStyle="1" w:styleId="ListLabel26">
    <w:name w:val="ListLabel 26"/>
    <w:qFormat/>
    <w:rPr>
      <w:lang w:val="lt-LT" w:eastAsia="en-US" w:bidi="ar-SA"/>
    </w:rPr>
  </w:style>
  <w:style w:type="character" w:customStyle="1" w:styleId="ListLabel27">
    <w:name w:val="ListLabel 27"/>
    <w:qFormat/>
    <w:rPr>
      <w:lang w:val="lt-LT" w:eastAsia="en-US" w:bidi="ar-SA"/>
    </w:rPr>
  </w:style>
  <w:style w:type="character" w:customStyle="1" w:styleId="WW8Num4z0">
    <w:name w:val="WW8Num4z0"/>
    <w:qFormat/>
    <w:rPr>
      <w:b/>
      <w:lang w:val="lt-L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0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  <w:style w:type="numbering" w:customStyle="1" w:styleId="WW8Num4">
    <w:name w:val="WW8Num4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D52"/>
    <w:rPr>
      <w:rFonts w:ascii="Carlito" w:eastAsia="Carlito" w:hAnsi="Carlito" w:cs="Carlito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52"/>
    <w:rPr>
      <w:rFonts w:ascii="Carlito" w:eastAsia="Carlito" w:hAnsi="Carlito" w:cs="Carlito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2"/>
    <w:rPr>
      <w:rFonts w:ascii="Segoe UI" w:eastAsia="Carlito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9436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DD"/>
    <w:rPr>
      <w:rFonts w:ascii="Carlito" w:eastAsia="Carlito" w:hAnsi="Carlito" w:cs="Carlito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5031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IR VALSTYBĖS BIUDŽETO LĖŠŲ PASKIRSTYMO KRITERIJAI (2009 METAMS)</vt:lpstr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IR VALSTYBĖS BIUDŽETO LĖŠŲ PASKIRSTYMO KRITERIJAI (2009 METAMS)</dc:title>
  <dc:subject/>
  <dc:creator>i.kazlauskaite</dc:creator>
  <dc:description/>
  <cp:lastModifiedBy>Vaiva Ružaitė</cp:lastModifiedBy>
  <cp:revision>3</cp:revision>
  <dcterms:created xsi:type="dcterms:W3CDTF">2021-06-15T14:04:00Z</dcterms:created>
  <dcterms:modified xsi:type="dcterms:W3CDTF">2021-06-25T12:51:00Z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2020-04-08T00:00:00Z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