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A278F" w14:textId="77777777" w:rsidR="00F5791E" w:rsidRPr="00744938" w:rsidRDefault="00F5791E">
      <w:pPr>
        <w:rPr>
          <w:rFonts w:ascii="Times New Roman" w:hAnsi="Times New Roman" w:cs="Times New Roman"/>
          <w:sz w:val="24"/>
          <w:szCs w:val="24"/>
          <w:lang w:val="lt-LT"/>
        </w:rPr>
      </w:pPr>
    </w:p>
    <w:p w14:paraId="7B3F887F" w14:textId="45976892" w:rsidR="00D70D9E" w:rsidRPr="008F197A" w:rsidRDefault="00C32C7A" w:rsidP="00A94C02">
      <w:pPr>
        <w:jc w:val="center"/>
        <w:rPr>
          <w:rFonts w:ascii="Times New Roman" w:hAnsi="Times New Roman" w:cs="Times New Roman"/>
          <w:sz w:val="24"/>
          <w:szCs w:val="24"/>
          <w:lang w:val="lt-LT"/>
        </w:rPr>
      </w:pPr>
      <w:r w:rsidRPr="00744938">
        <w:rPr>
          <w:rFonts w:ascii="Times New Roman" w:hAnsi="Times New Roman" w:cs="Times New Roman"/>
          <w:sz w:val="24"/>
          <w:szCs w:val="24"/>
          <w:lang w:val="lt-LT"/>
        </w:rPr>
        <w:t xml:space="preserve">PROGRAMOS „ERASMUS+“  PROJEKTŲ VEIKLŲ, SKIRTŲ NUO KARO UKRAINOJE NUKENTĖJUSIEMS ASMENIMS, </w:t>
      </w:r>
      <w:r w:rsidRPr="008F197A">
        <w:rPr>
          <w:rFonts w:ascii="Times New Roman" w:hAnsi="Times New Roman" w:cs="Times New Roman"/>
          <w:sz w:val="24"/>
          <w:szCs w:val="24"/>
          <w:lang w:val="lt-LT"/>
        </w:rPr>
        <w:t>ĮGYVENDINIMO GAIRĖS</w:t>
      </w:r>
    </w:p>
    <w:p w14:paraId="0DC55628" w14:textId="66870117" w:rsidR="00E768F1" w:rsidRPr="008F197A" w:rsidRDefault="00E768F1">
      <w:pPr>
        <w:rPr>
          <w:rFonts w:ascii="Times New Roman" w:hAnsi="Times New Roman" w:cs="Times New Roman"/>
          <w:sz w:val="24"/>
          <w:szCs w:val="24"/>
          <w:lang w:val="lt-LT"/>
        </w:rPr>
      </w:pPr>
    </w:p>
    <w:p w14:paraId="33BD5890" w14:textId="09A7F147" w:rsidR="00E768F1" w:rsidRPr="008F197A" w:rsidRDefault="009513A4" w:rsidP="005F35C4">
      <w:pPr>
        <w:jc w:val="both"/>
        <w:rPr>
          <w:rFonts w:ascii="Times New Roman" w:hAnsi="Times New Roman" w:cs="Times New Roman"/>
          <w:sz w:val="24"/>
          <w:szCs w:val="24"/>
          <w:lang w:val="lt-LT"/>
        </w:rPr>
      </w:pPr>
      <w:r w:rsidRPr="008F197A">
        <w:rPr>
          <w:rFonts w:ascii="Times New Roman" w:hAnsi="Times New Roman" w:cs="Times New Roman"/>
          <w:sz w:val="24"/>
          <w:szCs w:val="24"/>
          <w:lang w:val="lt-LT"/>
        </w:rPr>
        <w:t xml:space="preserve">Švietimo mainų paramos fondas kartu su kitų šalių </w:t>
      </w:r>
      <w:r w:rsidR="000F0BC4" w:rsidRPr="008F197A">
        <w:rPr>
          <w:rFonts w:ascii="Times New Roman" w:hAnsi="Times New Roman" w:cs="Times New Roman"/>
          <w:sz w:val="24"/>
          <w:szCs w:val="24"/>
          <w:lang w:val="lt-LT"/>
        </w:rPr>
        <w:t>N</w:t>
      </w:r>
      <w:r w:rsidR="00E768F1" w:rsidRPr="008F197A">
        <w:rPr>
          <w:rFonts w:ascii="Times New Roman" w:hAnsi="Times New Roman" w:cs="Times New Roman"/>
          <w:sz w:val="24"/>
          <w:szCs w:val="24"/>
          <w:lang w:val="lt-LT"/>
        </w:rPr>
        <w:t>acionalinė</w:t>
      </w:r>
      <w:r w:rsidRPr="008F197A">
        <w:rPr>
          <w:rFonts w:ascii="Times New Roman" w:hAnsi="Times New Roman" w:cs="Times New Roman"/>
          <w:sz w:val="24"/>
          <w:szCs w:val="24"/>
          <w:lang w:val="lt-LT"/>
        </w:rPr>
        <w:t>mi</w:t>
      </w:r>
      <w:r w:rsidR="00E768F1" w:rsidRPr="008F197A">
        <w:rPr>
          <w:rFonts w:ascii="Times New Roman" w:hAnsi="Times New Roman" w:cs="Times New Roman"/>
          <w:sz w:val="24"/>
          <w:szCs w:val="24"/>
          <w:lang w:val="lt-LT"/>
        </w:rPr>
        <w:t>s agentūro</w:t>
      </w:r>
      <w:r w:rsidRPr="008F197A">
        <w:rPr>
          <w:rFonts w:ascii="Times New Roman" w:hAnsi="Times New Roman" w:cs="Times New Roman"/>
          <w:sz w:val="24"/>
          <w:szCs w:val="24"/>
          <w:lang w:val="lt-LT"/>
        </w:rPr>
        <w:t>mi</w:t>
      </w:r>
      <w:r w:rsidR="00E768F1" w:rsidRPr="008F197A">
        <w:rPr>
          <w:rFonts w:ascii="Times New Roman" w:hAnsi="Times New Roman" w:cs="Times New Roman"/>
          <w:sz w:val="24"/>
          <w:szCs w:val="24"/>
          <w:lang w:val="lt-LT"/>
        </w:rPr>
        <w:t xml:space="preserve">s </w:t>
      </w:r>
      <w:r w:rsidR="003E5206" w:rsidRPr="008F197A">
        <w:rPr>
          <w:rFonts w:ascii="Times New Roman" w:hAnsi="Times New Roman" w:cs="Times New Roman"/>
          <w:sz w:val="24"/>
          <w:szCs w:val="24"/>
          <w:lang w:val="lt-LT"/>
        </w:rPr>
        <w:t>kviečia</w:t>
      </w:r>
      <w:r w:rsidR="00E768F1" w:rsidRPr="008F197A">
        <w:rPr>
          <w:rFonts w:ascii="Times New Roman" w:hAnsi="Times New Roman" w:cs="Times New Roman"/>
          <w:sz w:val="24"/>
          <w:szCs w:val="24"/>
          <w:lang w:val="lt-LT"/>
        </w:rPr>
        <w:t xml:space="preserve"> </w:t>
      </w:r>
      <w:r w:rsidRPr="008F197A">
        <w:rPr>
          <w:rFonts w:ascii="Times New Roman" w:hAnsi="Times New Roman" w:cs="Times New Roman"/>
          <w:sz w:val="24"/>
          <w:szCs w:val="24"/>
          <w:lang w:val="lt-LT"/>
        </w:rPr>
        <w:t>projektų vykdytojus</w:t>
      </w:r>
      <w:r w:rsidR="007C302B" w:rsidRPr="008F197A">
        <w:rPr>
          <w:rFonts w:ascii="Times New Roman" w:hAnsi="Times New Roman" w:cs="Times New Roman"/>
          <w:sz w:val="24"/>
          <w:szCs w:val="24"/>
          <w:lang w:val="lt-LT"/>
        </w:rPr>
        <w:t xml:space="preserve"> </w:t>
      </w:r>
      <w:r w:rsidRPr="008F197A">
        <w:rPr>
          <w:rFonts w:ascii="Times New Roman" w:hAnsi="Times New Roman" w:cs="Times New Roman"/>
          <w:sz w:val="24"/>
          <w:szCs w:val="24"/>
          <w:lang w:val="lt-LT"/>
        </w:rPr>
        <w:t>pritaikyti</w:t>
      </w:r>
      <w:r w:rsidR="007C302B" w:rsidRPr="008F197A">
        <w:rPr>
          <w:rFonts w:ascii="Times New Roman" w:hAnsi="Times New Roman" w:cs="Times New Roman"/>
          <w:sz w:val="24"/>
          <w:szCs w:val="24"/>
          <w:lang w:val="lt-LT"/>
        </w:rPr>
        <w:t xml:space="preserve"> įgyvendinamų </w:t>
      </w:r>
      <w:r w:rsidRPr="008F197A">
        <w:rPr>
          <w:rFonts w:ascii="Times New Roman" w:hAnsi="Times New Roman" w:cs="Times New Roman"/>
          <w:sz w:val="24"/>
          <w:szCs w:val="24"/>
          <w:lang w:val="lt-LT"/>
        </w:rPr>
        <w:t>projektų veiklas</w:t>
      </w:r>
      <w:r w:rsidR="00E768F1" w:rsidRPr="008F197A">
        <w:rPr>
          <w:rFonts w:ascii="Times New Roman" w:hAnsi="Times New Roman" w:cs="Times New Roman"/>
          <w:sz w:val="24"/>
          <w:szCs w:val="24"/>
          <w:lang w:val="lt-LT"/>
        </w:rPr>
        <w:t xml:space="preserve"> </w:t>
      </w:r>
      <w:r w:rsidR="00E51883" w:rsidRPr="008F197A">
        <w:rPr>
          <w:rFonts w:ascii="Times New Roman" w:hAnsi="Times New Roman" w:cs="Times New Roman"/>
          <w:sz w:val="24"/>
          <w:szCs w:val="24"/>
          <w:lang w:val="lt-LT"/>
        </w:rPr>
        <w:t>ir tokiu būdu prisidėti</w:t>
      </w:r>
      <w:r w:rsidR="00E768F1" w:rsidRPr="008F197A">
        <w:rPr>
          <w:rFonts w:ascii="Times New Roman" w:hAnsi="Times New Roman" w:cs="Times New Roman"/>
          <w:sz w:val="24"/>
          <w:szCs w:val="24"/>
          <w:lang w:val="lt-LT"/>
        </w:rPr>
        <w:t xml:space="preserve"> prie pagalbos ar paramos perkeltiems arba nukentėjusiems nuo karo asmenims.</w:t>
      </w:r>
    </w:p>
    <w:p w14:paraId="2E998A52" w14:textId="77777777" w:rsidR="00E768F1" w:rsidRPr="008F197A" w:rsidRDefault="00E768F1">
      <w:pPr>
        <w:rPr>
          <w:rFonts w:ascii="Times New Roman" w:hAnsi="Times New Roman" w:cs="Times New Roman"/>
          <w:sz w:val="24"/>
          <w:szCs w:val="24"/>
          <w:lang w:val="lt-LT"/>
        </w:rPr>
      </w:pPr>
    </w:p>
    <w:p w14:paraId="604350BC" w14:textId="22C3EE14" w:rsidR="00E768F1" w:rsidRPr="00744938" w:rsidRDefault="000F0BC4" w:rsidP="005F35C4">
      <w:pPr>
        <w:spacing w:after="120"/>
        <w:jc w:val="both"/>
        <w:rPr>
          <w:rFonts w:ascii="Times New Roman" w:hAnsi="Times New Roman" w:cs="Times New Roman"/>
          <w:sz w:val="24"/>
          <w:szCs w:val="24"/>
          <w:lang w:val="lt-LT"/>
        </w:rPr>
      </w:pPr>
      <w:r w:rsidRPr="00744938">
        <w:rPr>
          <w:rFonts w:ascii="Times New Roman" w:hAnsi="Times New Roman" w:cs="Times New Roman"/>
          <w:sz w:val="24"/>
          <w:szCs w:val="24"/>
          <w:lang w:val="lt-LT"/>
        </w:rPr>
        <w:t xml:space="preserve">Siekiant padėti nuo karo Ukrainoje nukentėjusiems asmenims, reikia </w:t>
      </w:r>
      <w:r w:rsidR="00E20927" w:rsidRPr="00744938">
        <w:rPr>
          <w:rFonts w:ascii="Times New Roman" w:hAnsi="Times New Roman" w:cs="Times New Roman"/>
          <w:sz w:val="24"/>
          <w:szCs w:val="24"/>
          <w:lang w:val="lt-LT"/>
        </w:rPr>
        <w:t>atkreipti dėmesį</w:t>
      </w:r>
      <w:r w:rsidR="008B6F92" w:rsidRPr="00744938">
        <w:rPr>
          <w:rFonts w:ascii="Times New Roman" w:hAnsi="Times New Roman" w:cs="Times New Roman"/>
          <w:sz w:val="24"/>
          <w:szCs w:val="24"/>
          <w:lang w:val="lt-LT"/>
        </w:rPr>
        <w:t xml:space="preserve"> į šiuos aktualius aspektus:</w:t>
      </w:r>
    </w:p>
    <w:p w14:paraId="6965EA53" w14:textId="4BCACDAF" w:rsidR="008B6F92" w:rsidRPr="008F197A" w:rsidRDefault="008B6F92" w:rsidP="00744938">
      <w:pPr>
        <w:pStyle w:val="ListParagraph"/>
        <w:numPr>
          <w:ilvl w:val="0"/>
          <w:numId w:val="2"/>
        </w:numPr>
        <w:spacing w:before="0" w:after="120" w:line="232" w:lineRule="auto"/>
        <w:ind w:left="425" w:right="-1"/>
        <w:jc w:val="both"/>
        <w:rPr>
          <w:sz w:val="24"/>
          <w:szCs w:val="24"/>
          <w:lang w:val="lt-LT"/>
        </w:rPr>
      </w:pPr>
      <w:r w:rsidRPr="00744938">
        <w:rPr>
          <w:sz w:val="24"/>
          <w:szCs w:val="24"/>
          <w:lang w:val="lt-LT"/>
        </w:rPr>
        <w:t>Bet kurių</w:t>
      </w:r>
      <w:r w:rsidR="00E51883" w:rsidRPr="00744938">
        <w:rPr>
          <w:sz w:val="24"/>
          <w:szCs w:val="24"/>
          <w:lang w:val="lt-LT"/>
        </w:rPr>
        <w:t xml:space="preserve"> metų</w:t>
      </w:r>
      <w:r w:rsidRPr="00744938">
        <w:rPr>
          <w:sz w:val="24"/>
          <w:szCs w:val="24"/>
          <w:lang w:val="lt-LT"/>
        </w:rPr>
        <w:t xml:space="preserve"> kvietimo teikti paraiškas ir bet </w:t>
      </w:r>
      <w:r w:rsidR="00E51883" w:rsidRPr="00744938">
        <w:rPr>
          <w:sz w:val="24"/>
          <w:szCs w:val="24"/>
          <w:lang w:val="lt-LT"/>
        </w:rPr>
        <w:t xml:space="preserve">kurio </w:t>
      </w:r>
      <w:r w:rsidRPr="00744938">
        <w:rPr>
          <w:sz w:val="24"/>
          <w:szCs w:val="24"/>
          <w:lang w:val="lt-LT"/>
        </w:rPr>
        <w:t xml:space="preserve">veiksmo </w:t>
      </w:r>
      <w:r w:rsidR="00E51883" w:rsidRPr="00744938">
        <w:rPr>
          <w:sz w:val="24"/>
          <w:szCs w:val="24"/>
          <w:lang w:val="lt-LT"/>
        </w:rPr>
        <w:t>įgyvendinamo</w:t>
      </w:r>
      <w:r w:rsidR="00E51883" w:rsidRPr="008F197A">
        <w:rPr>
          <w:sz w:val="24"/>
          <w:szCs w:val="24"/>
          <w:lang w:val="lt-LT"/>
        </w:rPr>
        <w:t xml:space="preserve"> projekto komanda </w:t>
      </w:r>
      <w:r w:rsidR="000F0BC4" w:rsidRPr="008F197A">
        <w:rPr>
          <w:sz w:val="24"/>
          <w:szCs w:val="24"/>
          <w:lang w:val="lt-LT"/>
        </w:rPr>
        <w:t>kviečiama</w:t>
      </w:r>
      <w:r w:rsidRPr="008F197A">
        <w:rPr>
          <w:sz w:val="24"/>
          <w:szCs w:val="24"/>
          <w:lang w:val="lt-LT"/>
        </w:rPr>
        <w:t xml:space="preserve"> apsvarstyti galimybę, kaip galėtų prisidėti prie paramos nukentėjusiems nuo karo</w:t>
      </w:r>
      <w:r w:rsidR="005E54A3" w:rsidRPr="008F197A">
        <w:rPr>
          <w:sz w:val="24"/>
          <w:szCs w:val="24"/>
          <w:lang w:val="lt-LT"/>
        </w:rPr>
        <w:t xml:space="preserve"> Ukrainoje</w:t>
      </w:r>
      <w:r w:rsidRPr="008F197A">
        <w:rPr>
          <w:sz w:val="24"/>
          <w:szCs w:val="24"/>
          <w:lang w:val="lt-LT"/>
        </w:rPr>
        <w:t xml:space="preserve"> asmeni</w:t>
      </w:r>
      <w:r w:rsidR="000F0BC4" w:rsidRPr="008F197A">
        <w:rPr>
          <w:sz w:val="24"/>
          <w:szCs w:val="24"/>
          <w:lang w:val="lt-LT"/>
        </w:rPr>
        <w:t>m</w:t>
      </w:r>
      <w:r w:rsidRPr="008F197A">
        <w:rPr>
          <w:sz w:val="24"/>
          <w:szCs w:val="24"/>
          <w:lang w:val="lt-LT"/>
        </w:rPr>
        <w:t>s.</w:t>
      </w:r>
    </w:p>
    <w:p w14:paraId="03330F75" w14:textId="1FAFBD32" w:rsidR="008B6F92" w:rsidRPr="008F197A" w:rsidRDefault="008B6F92" w:rsidP="005F35C4">
      <w:pPr>
        <w:pStyle w:val="ListParagraph"/>
        <w:numPr>
          <w:ilvl w:val="0"/>
          <w:numId w:val="2"/>
        </w:numPr>
        <w:spacing w:before="0" w:after="120" w:line="232" w:lineRule="auto"/>
        <w:ind w:left="425" w:right="-1"/>
        <w:jc w:val="both"/>
        <w:rPr>
          <w:sz w:val="24"/>
          <w:szCs w:val="24"/>
          <w:lang w:val="lt-LT"/>
        </w:rPr>
      </w:pPr>
      <w:r w:rsidRPr="008F197A">
        <w:rPr>
          <w:sz w:val="24"/>
          <w:szCs w:val="24"/>
          <w:lang w:val="lt-LT"/>
        </w:rPr>
        <w:t>Tokie pakeitimai</w:t>
      </w:r>
      <w:r w:rsidR="005E54A3" w:rsidRPr="008F197A">
        <w:rPr>
          <w:sz w:val="24"/>
          <w:szCs w:val="24"/>
          <w:lang w:val="lt-LT"/>
        </w:rPr>
        <w:t xml:space="preserve"> projekte</w:t>
      </w:r>
      <w:r w:rsidRPr="008F197A">
        <w:rPr>
          <w:sz w:val="24"/>
          <w:szCs w:val="24"/>
          <w:lang w:val="lt-LT"/>
        </w:rPr>
        <w:t xml:space="preserve"> gali būti atliekami tik </w:t>
      </w:r>
      <w:r w:rsidR="009A1972" w:rsidRPr="008F197A">
        <w:rPr>
          <w:sz w:val="24"/>
          <w:szCs w:val="24"/>
          <w:lang w:val="lt-LT"/>
        </w:rPr>
        <w:t xml:space="preserve">vadovaujantis </w:t>
      </w:r>
      <w:r w:rsidR="00A16169" w:rsidRPr="008F197A">
        <w:rPr>
          <w:sz w:val="24"/>
          <w:szCs w:val="24"/>
          <w:lang w:val="lt-LT"/>
        </w:rPr>
        <w:t>savanorišk</w:t>
      </w:r>
      <w:r w:rsidR="00A16169">
        <w:rPr>
          <w:sz w:val="24"/>
          <w:szCs w:val="24"/>
          <w:lang w:val="lt-LT"/>
        </w:rPr>
        <w:t>o</w:t>
      </w:r>
      <w:r w:rsidR="00A16169" w:rsidRPr="008F197A">
        <w:rPr>
          <w:sz w:val="24"/>
          <w:szCs w:val="24"/>
          <w:lang w:val="lt-LT"/>
        </w:rPr>
        <w:t xml:space="preserve"> dotacijų gavėjų prašym</w:t>
      </w:r>
      <w:r w:rsidR="00A16169">
        <w:rPr>
          <w:sz w:val="24"/>
          <w:szCs w:val="24"/>
          <w:lang w:val="lt-LT"/>
        </w:rPr>
        <w:t>o pagrindu</w:t>
      </w:r>
      <w:r w:rsidRPr="008F197A">
        <w:rPr>
          <w:sz w:val="24"/>
          <w:szCs w:val="24"/>
          <w:lang w:val="lt-LT"/>
        </w:rPr>
        <w:t>.</w:t>
      </w:r>
    </w:p>
    <w:p w14:paraId="6ABF5F2B" w14:textId="55901B52" w:rsidR="008B6F92" w:rsidRPr="008F197A" w:rsidRDefault="00E768F1" w:rsidP="00744938">
      <w:pPr>
        <w:pStyle w:val="ListParagraph"/>
        <w:numPr>
          <w:ilvl w:val="0"/>
          <w:numId w:val="2"/>
        </w:numPr>
        <w:spacing w:before="0" w:after="120" w:line="232" w:lineRule="auto"/>
        <w:ind w:left="425" w:right="-1"/>
        <w:jc w:val="both"/>
        <w:rPr>
          <w:sz w:val="24"/>
          <w:szCs w:val="24"/>
          <w:lang w:val="lt-LT"/>
        </w:rPr>
      </w:pPr>
      <w:r w:rsidRPr="008F197A">
        <w:rPr>
          <w:sz w:val="24"/>
          <w:szCs w:val="24"/>
          <w:lang w:val="lt-LT"/>
        </w:rPr>
        <w:t xml:space="preserve">Veiklų pritaikymas arba perorientavimas reiškia, kad dar nepradėtas ir neįgyvendintas veiklas galima pakeisti taip, kad jos būtų </w:t>
      </w:r>
      <w:r w:rsidR="003E5206" w:rsidRPr="008F197A">
        <w:rPr>
          <w:sz w:val="24"/>
          <w:szCs w:val="24"/>
          <w:lang w:val="lt-LT"/>
        </w:rPr>
        <w:t>skirtos</w:t>
      </w:r>
      <w:r w:rsidRPr="008F197A">
        <w:rPr>
          <w:sz w:val="24"/>
          <w:szCs w:val="24"/>
          <w:lang w:val="lt-LT"/>
        </w:rPr>
        <w:t xml:space="preserve"> nuo karo Ukrainoje nukentėjusių asmenų</w:t>
      </w:r>
      <w:r w:rsidR="000F0BC4" w:rsidRPr="008F197A">
        <w:rPr>
          <w:sz w:val="24"/>
          <w:szCs w:val="24"/>
          <w:lang w:val="lt-LT"/>
        </w:rPr>
        <w:t>,</w:t>
      </w:r>
      <w:r w:rsidRPr="008F197A">
        <w:rPr>
          <w:sz w:val="24"/>
          <w:szCs w:val="24"/>
          <w:lang w:val="lt-LT"/>
        </w:rPr>
        <w:t xml:space="preserve"> kaip pagrindinės tikslinės grupės</w:t>
      </w:r>
      <w:r w:rsidR="000F0BC4" w:rsidRPr="008F197A">
        <w:rPr>
          <w:sz w:val="24"/>
          <w:szCs w:val="24"/>
          <w:lang w:val="lt-LT"/>
        </w:rPr>
        <w:t>,</w:t>
      </w:r>
      <w:r w:rsidRPr="008F197A">
        <w:rPr>
          <w:sz w:val="24"/>
          <w:szCs w:val="24"/>
          <w:lang w:val="lt-LT"/>
        </w:rPr>
        <w:t xml:space="preserve"> param</w:t>
      </w:r>
      <w:r w:rsidR="005F35C4">
        <w:rPr>
          <w:sz w:val="24"/>
          <w:szCs w:val="24"/>
          <w:lang w:val="lt-LT"/>
        </w:rPr>
        <w:t>ai</w:t>
      </w:r>
      <w:r w:rsidRPr="008F197A">
        <w:rPr>
          <w:sz w:val="24"/>
          <w:szCs w:val="24"/>
          <w:lang w:val="lt-LT"/>
        </w:rPr>
        <w:t xml:space="preserve">. Bet koks pakeitimas turi atitikti </w:t>
      </w:r>
      <w:r w:rsidR="00BD25AF" w:rsidRPr="008F197A">
        <w:rPr>
          <w:sz w:val="24"/>
          <w:szCs w:val="24"/>
          <w:lang w:val="lt-LT"/>
        </w:rPr>
        <w:t>programos „Erasmus</w:t>
      </w:r>
      <w:r w:rsidR="00BD25AF" w:rsidRPr="008F197A">
        <w:rPr>
          <w:sz w:val="24"/>
          <w:szCs w:val="24"/>
        </w:rPr>
        <w:t>+</w:t>
      </w:r>
      <w:r w:rsidR="00BD25AF" w:rsidRPr="008F197A">
        <w:rPr>
          <w:sz w:val="24"/>
          <w:szCs w:val="24"/>
          <w:lang w:val="lt-LT"/>
        </w:rPr>
        <w:t>“ veikloms keliamus reikalavimus. Kiekvienu konkrečiu atveju sprendim</w:t>
      </w:r>
      <w:r w:rsidR="003E5206" w:rsidRPr="008F197A">
        <w:rPr>
          <w:sz w:val="24"/>
          <w:szCs w:val="24"/>
          <w:lang w:val="lt-LT"/>
        </w:rPr>
        <w:t>ą</w:t>
      </w:r>
      <w:r w:rsidR="00BD25AF" w:rsidRPr="008F197A">
        <w:rPr>
          <w:sz w:val="24"/>
          <w:szCs w:val="24"/>
          <w:lang w:val="lt-LT"/>
        </w:rPr>
        <w:t xml:space="preserve"> </w:t>
      </w:r>
      <w:r w:rsidR="009A1972" w:rsidRPr="008F197A">
        <w:rPr>
          <w:sz w:val="24"/>
          <w:szCs w:val="24"/>
          <w:lang w:val="lt-LT"/>
        </w:rPr>
        <w:t xml:space="preserve">dėl pakeitimų </w:t>
      </w:r>
      <w:r w:rsidR="003E5206" w:rsidRPr="008F197A">
        <w:rPr>
          <w:sz w:val="24"/>
          <w:szCs w:val="24"/>
          <w:lang w:val="lt-LT"/>
        </w:rPr>
        <w:t xml:space="preserve">priims </w:t>
      </w:r>
      <w:r w:rsidR="0059514C" w:rsidRPr="008F197A">
        <w:rPr>
          <w:sz w:val="24"/>
          <w:szCs w:val="24"/>
          <w:lang w:val="lt-LT"/>
        </w:rPr>
        <w:t>Švietimo mainų paramos fondo atsaking</w:t>
      </w:r>
      <w:r w:rsidR="003E5206" w:rsidRPr="008F197A">
        <w:rPr>
          <w:sz w:val="24"/>
          <w:szCs w:val="24"/>
          <w:lang w:val="lt-LT"/>
        </w:rPr>
        <w:t>i</w:t>
      </w:r>
      <w:r w:rsidR="0059514C" w:rsidRPr="008F197A">
        <w:rPr>
          <w:sz w:val="24"/>
          <w:szCs w:val="24"/>
          <w:lang w:val="lt-LT"/>
        </w:rPr>
        <w:t xml:space="preserve"> darbuotoj</w:t>
      </w:r>
      <w:r w:rsidR="003E5206" w:rsidRPr="008F197A">
        <w:rPr>
          <w:sz w:val="24"/>
          <w:szCs w:val="24"/>
          <w:lang w:val="lt-LT"/>
        </w:rPr>
        <w:t>ai</w:t>
      </w:r>
      <w:r w:rsidR="0059514C" w:rsidRPr="008F197A">
        <w:rPr>
          <w:sz w:val="24"/>
          <w:szCs w:val="24"/>
          <w:lang w:val="lt-LT"/>
        </w:rPr>
        <w:t>.</w:t>
      </w:r>
    </w:p>
    <w:p w14:paraId="6899BFEB" w14:textId="13D830A8" w:rsidR="0059514C" w:rsidRPr="008F197A" w:rsidRDefault="0059514C" w:rsidP="00A94C02">
      <w:pPr>
        <w:pStyle w:val="ListParagraph"/>
        <w:numPr>
          <w:ilvl w:val="0"/>
          <w:numId w:val="2"/>
        </w:numPr>
        <w:spacing w:before="0" w:after="120" w:line="230" w:lineRule="auto"/>
        <w:ind w:left="425" w:right="-1"/>
        <w:jc w:val="both"/>
        <w:rPr>
          <w:sz w:val="24"/>
          <w:szCs w:val="24"/>
          <w:lang w:val="lt-LT"/>
        </w:rPr>
      </w:pPr>
      <w:r w:rsidRPr="008F197A">
        <w:rPr>
          <w:sz w:val="24"/>
          <w:szCs w:val="24"/>
          <w:lang w:val="lt-LT"/>
        </w:rPr>
        <w:t>Inicijuoti projekto pokyčiai negali pakeisti projekto iš esmės, nutolti nuo pradinių tikslų. Draudžiama naudoti programos „Erasmus+“ finansavim</w:t>
      </w:r>
      <w:r w:rsidR="004A0445" w:rsidRPr="008F197A">
        <w:rPr>
          <w:sz w:val="24"/>
          <w:szCs w:val="24"/>
          <w:lang w:val="lt-LT"/>
        </w:rPr>
        <w:t>ą</w:t>
      </w:r>
      <w:r w:rsidRPr="008F197A">
        <w:rPr>
          <w:sz w:val="24"/>
          <w:szCs w:val="24"/>
          <w:lang w:val="lt-LT"/>
        </w:rPr>
        <w:t xml:space="preserve"> kitiems tikslams nei tinkama projekto veikla (pvz., medžiagų </w:t>
      </w:r>
      <w:r w:rsidR="009A1972" w:rsidRPr="008F197A">
        <w:rPr>
          <w:sz w:val="24"/>
          <w:szCs w:val="24"/>
          <w:lang w:val="lt-LT"/>
        </w:rPr>
        <w:t xml:space="preserve">ar </w:t>
      </w:r>
      <w:r w:rsidRPr="008F197A">
        <w:rPr>
          <w:sz w:val="24"/>
          <w:szCs w:val="24"/>
          <w:lang w:val="lt-LT"/>
        </w:rPr>
        <w:t>paslaugų pirkimas be jokios sąsajos su projekto veikla). Tokios patirtos išlaidos bus laikomos netinkamomis finansuoti.</w:t>
      </w:r>
    </w:p>
    <w:p w14:paraId="62943360" w14:textId="16B98F38" w:rsidR="00A42BFA" w:rsidRPr="008F197A" w:rsidRDefault="00A42BFA" w:rsidP="00A94C02">
      <w:pPr>
        <w:pStyle w:val="ListParagraph"/>
        <w:numPr>
          <w:ilvl w:val="0"/>
          <w:numId w:val="2"/>
        </w:numPr>
        <w:spacing w:before="0" w:after="120" w:line="230" w:lineRule="auto"/>
        <w:ind w:left="425" w:right="-1"/>
        <w:jc w:val="both"/>
        <w:rPr>
          <w:sz w:val="24"/>
          <w:szCs w:val="24"/>
          <w:lang w:val="lt-LT"/>
        </w:rPr>
      </w:pPr>
      <w:r w:rsidRPr="008F197A">
        <w:rPr>
          <w:sz w:val="24"/>
          <w:szCs w:val="24"/>
          <w:lang w:val="lt-LT"/>
        </w:rPr>
        <w:t xml:space="preserve">Dotacijos sutarties keitimo poreikis bus nustatomas atsižvelgiant į </w:t>
      </w:r>
      <w:r w:rsidR="00517C96" w:rsidRPr="008F197A">
        <w:rPr>
          <w:sz w:val="24"/>
          <w:szCs w:val="24"/>
          <w:lang w:val="lt-LT"/>
        </w:rPr>
        <w:t>pokyčio</w:t>
      </w:r>
      <w:r w:rsidRPr="008F197A">
        <w:rPr>
          <w:sz w:val="24"/>
          <w:szCs w:val="24"/>
          <w:lang w:val="lt-LT"/>
        </w:rPr>
        <w:t xml:space="preserve"> </w:t>
      </w:r>
      <w:r w:rsidR="009A1972" w:rsidRPr="008F197A">
        <w:rPr>
          <w:sz w:val="24"/>
          <w:szCs w:val="24"/>
          <w:lang w:val="lt-LT"/>
        </w:rPr>
        <w:t>apimtį</w:t>
      </w:r>
      <w:r w:rsidRPr="008F197A">
        <w:rPr>
          <w:sz w:val="24"/>
          <w:szCs w:val="24"/>
          <w:lang w:val="lt-LT"/>
        </w:rPr>
        <w:t xml:space="preserve">, į pradinės keičiamos veiklos ir projekto tikslus. Jei veiklas galima koreguoti nekeičiant </w:t>
      </w:r>
      <w:r w:rsidR="00517C96" w:rsidRPr="008F197A">
        <w:rPr>
          <w:sz w:val="24"/>
          <w:szCs w:val="24"/>
          <w:lang w:val="lt-LT"/>
        </w:rPr>
        <w:t>dotacijos</w:t>
      </w:r>
      <w:r w:rsidRPr="008F197A">
        <w:rPr>
          <w:sz w:val="24"/>
          <w:szCs w:val="24"/>
          <w:lang w:val="lt-LT"/>
        </w:rPr>
        <w:t xml:space="preserve"> sutarties ir jos priedų, </w:t>
      </w:r>
      <w:r w:rsidR="003E5206" w:rsidRPr="008F197A">
        <w:rPr>
          <w:sz w:val="24"/>
          <w:szCs w:val="24"/>
          <w:lang w:val="lt-LT"/>
        </w:rPr>
        <w:t xml:space="preserve">sutarties pakeitimai </w:t>
      </w:r>
      <w:r w:rsidRPr="008F197A">
        <w:rPr>
          <w:sz w:val="24"/>
          <w:szCs w:val="24"/>
          <w:lang w:val="lt-LT"/>
        </w:rPr>
        <w:t>nereik</w:t>
      </w:r>
      <w:r w:rsidR="00517C96" w:rsidRPr="008F197A">
        <w:rPr>
          <w:sz w:val="24"/>
          <w:szCs w:val="24"/>
          <w:lang w:val="lt-LT"/>
        </w:rPr>
        <w:t>alingi.</w:t>
      </w:r>
      <w:r w:rsidRPr="008F197A">
        <w:rPr>
          <w:sz w:val="24"/>
          <w:szCs w:val="24"/>
          <w:lang w:val="lt-LT"/>
        </w:rPr>
        <w:t xml:space="preserve"> </w:t>
      </w:r>
      <w:r w:rsidR="00812671" w:rsidRPr="008F197A">
        <w:rPr>
          <w:sz w:val="24"/>
          <w:szCs w:val="24"/>
          <w:lang w:val="lt-LT"/>
        </w:rPr>
        <w:t>Kitu atveju dotacijos sutarties ir/ar jos priedų keitimas</w:t>
      </w:r>
      <w:r w:rsidRPr="008F197A">
        <w:rPr>
          <w:sz w:val="24"/>
          <w:szCs w:val="24"/>
          <w:lang w:val="lt-LT"/>
        </w:rPr>
        <w:t xml:space="preserve"> </w:t>
      </w:r>
      <w:r w:rsidR="00517C96" w:rsidRPr="008F197A">
        <w:rPr>
          <w:sz w:val="24"/>
          <w:szCs w:val="24"/>
          <w:lang w:val="lt-LT"/>
        </w:rPr>
        <w:t>atliekamas įforminant pakeitimą pagal sutart</w:t>
      </w:r>
      <w:r w:rsidR="009A1972" w:rsidRPr="008F197A">
        <w:rPr>
          <w:sz w:val="24"/>
          <w:szCs w:val="24"/>
          <w:lang w:val="lt-LT"/>
        </w:rPr>
        <w:t>ies</w:t>
      </w:r>
      <w:r w:rsidR="00517C96" w:rsidRPr="008F197A">
        <w:rPr>
          <w:sz w:val="24"/>
          <w:szCs w:val="24"/>
          <w:lang w:val="lt-LT"/>
        </w:rPr>
        <w:t xml:space="preserve"> nuostatas</w:t>
      </w:r>
      <w:r w:rsidRPr="008F197A">
        <w:rPr>
          <w:sz w:val="24"/>
          <w:szCs w:val="24"/>
          <w:lang w:val="lt-LT"/>
        </w:rPr>
        <w:t>.</w:t>
      </w:r>
    </w:p>
    <w:p w14:paraId="33057589" w14:textId="791E189D" w:rsidR="00E768F1" w:rsidRPr="00744938" w:rsidRDefault="00E768F1" w:rsidP="00A94C02">
      <w:pPr>
        <w:pStyle w:val="ListParagraph"/>
        <w:numPr>
          <w:ilvl w:val="0"/>
          <w:numId w:val="2"/>
        </w:numPr>
        <w:spacing w:before="0" w:after="120" w:line="232" w:lineRule="auto"/>
        <w:ind w:left="425" w:right="-1" w:hanging="362"/>
        <w:jc w:val="both"/>
        <w:rPr>
          <w:sz w:val="24"/>
          <w:szCs w:val="24"/>
          <w:lang w:val="lt-LT"/>
        </w:rPr>
      </w:pPr>
      <w:r w:rsidRPr="008F197A">
        <w:rPr>
          <w:sz w:val="24"/>
          <w:szCs w:val="24"/>
          <w:lang w:val="lt-LT"/>
        </w:rPr>
        <w:t xml:space="preserve">Didžiausia projekto dotacijos suma išlieka ta pati, net jei veikla perorientuojama ir (arba) </w:t>
      </w:r>
      <w:r w:rsidR="00517C96" w:rsidRPr="008F197A">
        <w:rPr>
          <w:sz w:val="24"/>
          <w:szCs w:val="24"/>
          <w:lang w:val="lt-LT"/>
        </w:rPr>
        <w:t>pritaikoma</w:t>
      </w:r>
      <w:r w:rsidR="004A0445" w:rsidRPr="008F197A">
        <w:rPr>
          <w:sz w:val="24"/>
          <w:szCs w:val="24"/>
          <w:lang w:val="lt-LT"/>
        </w:rPr>
        <w:t xml:space="preserve"> siekiant prisidėti prie paramos nukentėjusiems nuo karo asmenims</w:t>
      </w:r>
      <w:r w:rsidRPr="008F197A">
        <w:rPr>
          <w:sz w:val="24"/>
          <w:szCs w:val="24"/>
          <w:lang w:val="lt-LT"/>
        </w:rPr>
        <w:t xml:space="preserve">. </w:t>
      </w:r>
      <w:r w:rsidR="003E5206" w:rsidRPr="008F197A">
        <w:rPr>
          <w:sz w:val="24"/>
          <w:szCs w:val="24"/>
          <w:lang w:val="lt-LT"/>
        </w:rPr>
        <w:t xml:space="preserve">Projekto įgyvendinimui visa skirta dotacija negali būti </w:t>
      </w:r>
      <w:r w:rsidR="00812671" w:rsidRPr="008F197A">
        <w:rPr>
          <w:sz w:val="24"/>
          <w:szCs w:val="24"/>
          <w:lang w:val="lt-LT"/>
        </w:rPr>
        <w:t>didinama</w:t>
      </w:r>
      <w:r w:rsidR="003E5206" w:rsidRPr="008F197A">
        <w:rPr>
          <w:sz w:val="24"/>
          <w:szCs w:val="24"/>
          <w:lang w:val="lt-LT"/>
        </w:rPr>
        <w:t xml:space="preserve">. Galima didinti tik projekto viduje esančias išlaidų kategorijas </w:t>
      </w:r>
      <w:r w:rsidR="004C40EC">
        <w:rPr>
          <w:sz w:val="24"/>
          <w:szCs w:val="24"/>
          <w:lang w:val="lt-LT"/>
        </w:rPr>
        <w:t>–</w:t>
      </w:r>
      <w:r w:rsidR="003E5206" w:rsidRPr="008F197A">
        <w:rPr>
          <w:sz w:val="24"/>
          <w:szCs w:val="24"/>
          <w:lang w:val="lt-LT"/>
        </w:rPr>
        <w:t xml:space="preserve"> </w:t>
      </w:r>
      <w:r w:rsidR="004F2F8B">
        <w:rPr>
          <w:sz w:val="24"/>
          <w:szCs w:val="24"/>
          <w:lang w:val="lt-LT"/>
        </w:rPr>
        <w:t>i</w:t>
      </w:r>
      <w:r w:rsidR="00517C96" w:rsidRPr="008F197A">
        <w:rPr>
          <w:sz w:val="24"/>
          <w:szCs w:val="24"/>
          <w:lang w:val="lt-LT"/>
        </w:rPr>
        <w:t>šimtin</w:t>
      </w:r>
      <w:r w:rsidR="003315A1" w:rsidRPr="008F197A">
        <w:rPr>
          <w:sz w:val="24"/>
          <w:szCs w:val="24"/>
          <w:lang w:val="lt-LT"/>
        </w:rPr>
        <w:t>e</w:t>
      </w:r>
      <w:r w:rsidR="00517C96" w:rsidRPr="008F197A">
        <w:rPr>
          <w:sz w:val="24"/>
          <w:szCs w:val="24"/>
          <w:lang w:val="lt-LT"/>
        </w:rPr>
        <w:t>s</w:t>
      </w:r>
      <w:r w:rsidRPr="008F197A">
        <w:rPr>
          <w:sz w:val="24"/>
          <w:szCs w:val="24"/>
          <w:lang w:val="lt-LT"/>
        </w:rPr>
        <w:t xml:space="preserve"> išlaid</w:t>
      </w:r>
      <w:r w:rsidR="003315A1" w:rsidRPr="008F197A">
        <w:rPr>
          <w:sz w:val="24"/>
          <w:szCs w:val="24"/>
          <w:lang w:val="lt-LT"/>
        </w:rPr>
        <w:t>a</w:t>
      </w:r>
      <w:r w:rsidRPr="008F197A">
        <w:rPr>
          <w:sz w:val="24"/>
          <w:szCs w:val="24"/>
          <w:lang w:val="lt-LT"/>
        </w:rPr>
        <w:t>s ir skiriam</w:t>
      </w:r>
      <w:r w:rsidR="00517C96" w:rsidRPr="008F197A">
        <w:rPr>
          <w:sz w:val="24"/>
          <w:szCs w:val="24"/>
          <w:lang w:val="lt-LT"/>
        </w:rPr>
        <w:t>ą</w:t>
      </w:r>
      <w:r w:rsidRPr="008F197A">
        <w:rPr>
          <w:sz w:val="24"/>
          <w:szCs w:val="24"/>
          <w:lang w:val="lt-LT"/>
        </w:rPr>
        <w:t xml:space="preserve"> </w:t>
      </w:r>
      <w:r w:rsidR="00517C96" w:rsidRPr="008F197A">
        <w:rPr>
          <w:sz w:val="24"/>
          <w:szCs w:val="24"/>
          <w:lang w:val="lt-LT"/>
        </w:rPr>
        <w:t>dalyvi</w:t>
      </w:r>
      <w:r w:rsidR="004A0445" w:rsidRPr="008F197A">
        <w:rPr>
          <w:sz w:val="24"/>
          <w:szCs w:val="24"/>
          <w:lang w:val="lt-LT"/>
        </w:rPr>
        <w:t>ų</w:t>
      </w:r>
      <w:r w:rsidR="00517C96" w:rsidRPr="008F197A">
        <w:rPr>
          <w:sz w:val="24"/>
          <w:szCs w:val="24"/>
          <w:lang w:val="lt-LT"/>
        </w:rPr>
        <w:t xml:space="preserve"> </w:t>
      </w:r>
      <w:r w:rsidR="004F2F8B">
        <w:rPr>
          <w:sz w:val="24"/>
          <w:szCs w:val="24"/>
          <w:lang w:val="lt-LT"/>
        </w:rPr>
        <w:t>p</w:t>
      </w:r>
      <w:r w:rsidR="009C4D0A" w:rsidRPr="008F197A">
        <w:rPr>
          <w:sz w:val="24"/>
          <w:szCs w:val="24"/>
          <w:lang w:val="lt-LT"/>
        </w:rPr>
        <w:t>aramą įtraukčiai</w:t>
      </w:r>
      <w:r w:rsidRPr="008F197A">
        <w:rPr>
          <w:sz w:val="24"/>
          <w:szCs w:val="24"/>
          <w:lang w:val="lt-LT"/>
        </w:rPr>
        <w:t xml:space="preserve"> </w:t>
      </w:r>
      <w:r w:rsidRPr="00744938">
        <w:rPr>
          <w:sz w:val="24"/>
          <w:szCs w:val="24"/>
          <w:lang w:val="lt-LT"/>
        </w:rPr>
        <w:t>(</w:t>
      </w:r>
      <w:r w:rsidR="00517C96" w:rsidRPr="00744938">
        <w:rPr>
          <w:sz w:val="24"/>
          <w:szCs w:val="24"/>
          <w:lang w:val="lt-LT"/>
        </w:rPr>
        <w:t>kuri turi būti susieta su mobilumu, finansuojamu iš projekto biudžeto</w:t>
      </w:r>
      <w:r w:rsidRPr="00744938">
        <w:rPr>
          <w:sz w:val="24"/>
          <w:szCs w:val="24"/>
          <w:lang w:val="lt-LT"/>
        </w:rPr>
        <w:t>).</w:t>
      </w:r>
    </w:p>
    <w:p w14:paraId="2DEFA722" w14:textId="5DEB95EC" w:rsidR="00E768F1" w:rsidRPr="008F197A" w:rsidRDefault="00E768F1" w:rsidP="00E768F1">
      <w:pPr>
        <w:rPr>
          <w:rFonts w:ascii="Times New Roman" w:hAnsi="Times New Roman" w:cs="Times New Roman"/>
          <w:sz w:val="24"/>
          <w:szCs w:val="24"/>
          <w:lang w:val="lt-LT"/>
        </w:rPr>
      </w:pPr>
    </w:p>
    <w:p w14:paraId="1C6326DC" w14:textId="3EBF8638" w:rsidR="009D06E2" w:rsidRPr="008F197A" w:rsidRDefault="002126BD" w:rsidP="004F2F8B">
      <w:pPr>
        <w:pStyle w:val="Heading1"/>
        <w:tabs>
          <w:tab w:val="left" w:pos="1573"/>
        </w:tabs>
        <w:ind w:hanging="1571"/>
        <w:rPr>
          <w:sz w:val="24"/>
          <w:szCs w:val="24"/>
          <w:lang w:val="lt-LT"/>
        </w:rPr>
      </w:pPr>
      <w:r w:rsidRPr="008F197A">
        <w:rPr>
          <w:spacing w:val="-2"/>
          <w:w w:val="95"/>
          <w:sz w:val="24"/>
          <w:szCs w:val="24"/>
          <w:lang w:val="lt-LT"/>
        </w:rPr>
        <w:t xml:space="preserve">Specialūs </w:t>
      </w:r>
      <w:r w:rsidR="00FD2303" w:rsidRPr="008F197A">
        <w:rPr>
          <w:spacing w:val="-2"/>
          <w:w w:val="95"/>
          <w:sz w:val="24"/>
          <w:szCs w:val="24"/>
          <w:lang w:val="lt-LT"/>
        </w:rPr>
        <w:t xml:space="preserve">išimtiniai </w:t>
      </w:r>
      <w:r w:rsidRPr="008F197A">
        <w:rPr>
          <w:spacing w:val="-2"/>
          <w:w w:val="95"/>
          <w:sz w:val="24"/>
          <w:szCs w:val="24"/>
          <w:lang w:val="lt-LT"/>
        </w:rPr>
        <w:t>programos taisyklių pritaikymai</w:t>
      </w:r>
    </w:p>
    <w:p w14:paraId="22D68B75" w14:textId="77777777" w:rsidR="009D06E2" w:rsidRPr="008F197A" w:rsidRDefault="009D06E2" w:rsidP="009D06E2">
      <w:pPr>
        <w:pStyle w:val="BodyText"/>
        <w:spacing w:before="9"/>
        <w:rPr>
          <w:b/>
          <w:sz w:val="24"/>
          <w:szCs w:val="24"/>
          <w:lang w:val="lt-LT"/>
        </w:rPr>
      </w:pPr>
      <w:bookmarkStart w:id="0" w:name="_GoBack"/>
      <w:bookmarkEnd w:id="0"/>
    </w:p>
    <w:p w14:paraId="1BB0D090" w14:textId="111F8873" w:rsidR="009D06E2" w:rsidRPr="008F197A" w:rsidRDefault="00F1143E" w:rsidP="000F0BC4">
      <w:pPr>
        <w:pStyle w:val="BodyText"/>
        <w:spacing w:line="230" w:lineRule="auto"/>
        <w:ind w:right="-1" w:firstLine="3"/>
        <w:jc w:val="both"/>
        <w:rPr>
          <w:sz w:val="24"/>
          <w:szCs w:val="24"/>
          <w:lang w:val="lt-LT"/>
        </w:rPr>
      </w:pPr>
      <w:r w:rsidRPr="008F197A">
        <w:rPr>
          <w:sz w:val="24"/>
          <w:szCs w:val="24"/>
          <w:lang w:val="lt-LT"/>
        </w:rPr>
        <w:t>Ankste</w:t>
      </w:r>
      <w:r w:rsidR="00520125" w:rsidRPr="008F197A">
        <w:rPr>
          <w:sz w:val="24"/>
          <w:szCs w:val="24"/>
          <w:lang w:val="lt-LT"/>
        </w:rPr>
        <w:t>s</w:t>
      </w:r>
      <w:r w:rsidRPr="008F197A">
        <w:rPr>
          <w:sz w:val="24"/>
          <w:szCs w:val="24"/>
          <w:lang w:val="lt-LT"/>
        </w:rPr>
        <w:t xml:space="preserve">niame </w:t>
      </w:r>
      <w:r w:rsidR="002126BD" w:rsidRPr="008F197A">
        <w:rPr>
          <w:sz w:val="24"/>
          <w:szCs w:val="24"/>
          <w:lang w:val="lt-LT"/>
        </w:rPr>
        <w:t>Europos Komisijos p</w:t>
      </w:r>
      <w:r w:rsidR="009D06E2" w:rsidRPr="008F197A">
        <w:rPr>
          <w:sz w:val="24"/>
          <w:szCs w:val="24"/>
          <w:lang w:val="lt-LT"/>
        </w:rPr>
        <w:t>ranešim</w:t>
      </w:r>
      <w:r w:rsidRPr="008F197A">
        <w:rPr>
          <w:sz w:val="24"/>
          <w:szCs w:val="24"/>
          <w:lang w:val="lt-LT"/>
        </w:rPr>
        <w:t>e</w:t>
      </w:r>
      <w:r w:rsidR="009D06E2" w:rsidRPr="008F197A">
        <w:rPr>
          <w:sz w:val="24"/>
          <w:szCs w:val="24"/>
          <w:lang w:val="lt-LT"/>
        </w:rPr>
        <w:t xml:space="preserve"> </w:t>
      </w:r>
      <w:r w:rsidR="005F35C4">
        <w:rPr>
          <w:sz w:val="24"/>
          <w:szCs w:val="24"/>
          <w:lang w:val="lt-LT"/>
        </w:rPr>
        <w:t>(</w:t>
      </w:r>
      <w:r w:rsidR="005F35C4" w:rsidRPr="005F35C4">
        <w:rPr>
          <w:sz w:val="24"/>
          <w:szCs w:val="24"/>
          <w:lang w:val="lt-LT"/>
        </w:rPr>
        <w:t>https://erasmus-plius.lt/naujienos/svietimas/informacija-del-situacijos-ukrainoje/</w:t>
      </w:r>
      <w:r w:rsidR="005F35C4">
        <w:rPr>
          <w:sz w:val="24"/>
          <w:szCs w:val="24"/>
          <w:lang w:val="lt-LT"/>
        </w:rPr>
        <w:t>)</w:t>
      </w:r>
      <w:r w:rsidR="0084699B" w:rsidRPr="00744938">
        <w:rPr>
          <w:sz w:val="24"/>
          <w:szCs w:val="24"/>
          <w:lang w:val="lt-LT"/>
        </w:rPr>
        <w:t xml:space="preserve"> buvo paskelbta </w:t>
      </w:r>
      <w:r w:rsidR="009D06E2" w:rsidRPr="00744938">
        <w:rPr>
          <w:sz w:val="24"/>
          <w:szCs w:val="24"/>
          <w:lang w:val="lt-LT"/>
        </w:rPr>
        <w:t>galimyb</w:t>
      </w:r>
      <w:r w:rsidR="00520125" w:rsidRPr="00744938">
        <w:rPr>
          <w:sz w:val="24"/>
          <w:szCs w:val="24"/>
          <w:lang w:val="lt-LT"/>
        </w:rPr>
        <w:t>ė</w:t>
      </w:r>
      <w:r w:rsidR="009D06E2" w:rsidRPr="00744938">
        <w:rPr>
          <w:sz w:val="24"/>
          <w:szCs w:val="24"/>
          <w:lang w:val="lt-LT"/>
        </w:rPr>
        <w:t xml:space="preserve"> išimties tvarka atverti „Erasmus+“ KAl mobilumo </w:t>
      </w:r>
      <w:r w:rsidR="00520125" w:rsidRPr="008F197A">
        <w:rPr>
          <w:sz w:val="24"/>
          <w:szCs w:val="24"/>
          <w:lang w:val="lt-LT"/>
        </w:rPr>
        <w:t>veiklas</w:t>
      </w:r>
      <w:r w:rsidR="009D06E2" w:rsidRPr="008F197A">
        <w:rPr>
          <w:sz w:val="24"/>
          <w:szCs w:val="24"/>
          <w:lang w:val="lt-LT"/>
        </w:rPr>
        <w:t xml:space="preserve"> (2 biudžeto išlaidų kategorijos lėšas) atvykstantiems iš Ukrainos dalyviams </w:t>
      </w:r>
      <w:r w:rsidR="00FD2303" w:rsidRPr="008F197A">
        <w:rPr>
          <w:sz w:val="24"/>
          <w:szCs w:val="24"/>
          <w:lang w:val="lt-LT"/>
        </w:rPr>
        <w:t xml:space="preserve">švietimo </w:t>
      </w:r>
      <w:r w:rsidR="009D06E2" w:rsidRPr="008F197A">
        <w:rPr>
          <w:sz w:val="24"/>
          <w:szCs w:val="24"/>
          <w:lang w:val="lt-LT"/>
        </w:rPr>
        <w:t xml:space="preserve">ir mokymo srityse. Šia galimybe „Erasmus+“ </w:t>
      </w:r>
      <w:r w:rsidR="00FD2303" w:rsidRPr="008F197A">
        <w:rPr>
          <w:sz w:val="24"/>
          <w:szCs w:val="24"/>
          <w:lang w:val="lt-LT"/>
        </w:rPr>
        <w:t xml:space="preserve">dotacijos </w:t>
      </w:r>
      <w:r w:rsidR="009D06E2" w:rsidRPr="008F197A">
        <w:rPr>
          <w:sz w:val="24"/>
          <w:szCs w:val="24"/>
          <w:lang w:val="lt-LT"/>
        </w:rPr>
        <w:t xml:space="preserve">gavėjai turi naudotis savanoriškai. </w:t>
      </w:r>
    </w:p>
    <w:p w14:paraId="693DDB9B" w14:textId="77777777" w:rsidR="009D06E2" w:rsidRPr="008F197A" w:rsidRDefault="009D06E2" w:rsidP="002126BD">
      <w:pPr>
        <w:pStyle w:val="BodyText"/>
        <w:spacing w:line="230" w:lineRule="auto"/>
        <w:ind w:right="628" w:firstLine="3"/>
        <w:jc w:val="both"/>
        <w:rPr>
          <w:sz w:val="24"/>
          <w:szCs w:val="24"/>
          <w:lang w:val="lt-LT"/>
        </w:rPr>
      </w:pPr>
    </w:p>
    <w:p w14:paraId="30AA3CE3" w14:textId="7425E2BC" w:rsidR="009D06E2" w:rsidRPr="008F197A" w:rsidRDefault="009D06E2" w:rsidP="000F0BC4">
      <w:pPr>
        <w:pStyle w:val="BodyText"/>
        <w:spacing w:line="230" w:lineRule="auto"/>
        <w:ind w:right="-1" w:firstLine="3"/>
        <w:jc w:val="both"/>
        <w:rPr>
          <w:sz w:val="24"/>
          <w:szCs w:val="24"/>
          <w:lang w:val="lt-LT"/>
        </w:rPr>
      </w:pPr>
      <w:r w:rsidRPr="008F197A">
        <w:rPr>
          <w:sz w:val="24"/>
          <w:szCs w:val="24"/>
          <w:lang w:val="lt-LT"/>
        </w:rPr>
        <w:t xml:space="preserve">Be to, siekiant palengvinti paramos teikimą iš Ukrainos atvykstantiems dalyviams, atkreipkite dėmesį, kad visi šiai kategorijai priskiriami dalyviai bus laikomi „mažiau galimybių turinčiais dalyviais“, todėl galės gauti atitinkamą skirtąją paramą, kaip nurodyta kiekviename </w:t>
      </w:r>
      <w:r w:rsidR="00520125" w:rsidRPr="008F197A">
        <w:rPr>
          <w:sz w:val="24"/>
          <w:szCs w:val="24"/>
          <w:lang w:val="lt-LT"/>
        </w:rPr>
        <w:t xml:space="preserve">programos </w:t>
      </w:r>
      <w:r w:rsidRPr="008F197A">
        <w:rPr>
          <w:sz w:val="24"/>
          <w:szCs w:val="24"/>
          <w:lang w:val="lt-LT"/>
        </w:rPr>
        <w:t xml:space="preserve">veiksme. </w:t>
      </w:r>
    </w:p>
    <w:p w14:paraId="0DEEA86F" w14:textId="77777777" w:rsidR="009D06E2" w:rsidRPr="008F197A" w:rsidRDefault="009D06E2" w:rsidP="002126BD">
      <w:pPr>
        <w:pStyle w:val="BodyText"/>
        <w:spacing w:line="230" w:lineRule="auto"/>
        <w:ind w:right="628" w:firstLine="3"/>
        <w:jc w:val="both"/>
        <w:rPr>
          <w:sz w:val="24"/>
          <w:szCs w:val="24"/>
          <w:lang w:val="lt-LT"/>
        </w:rPr>
      </w:pPr>
    </w:p>
    <w:p w14:paraId="17C0673E" w14:textId="272316F6" w:rsidR="009D06E2" w:rsidRPr="008F197A" w:rsidRDefault="003347ED" w:rsidP="000F0BC4">
      <w:pPr>
        <w:pStyle w:val="BodyText"/>
        <w:spacing w:line="230" w:lineRule="auto"/>
        <w:ind w:right="-1" w:firstLine="3"/>
        <w:jc w:val="both"/>
        <w:rPr>
          <w:sz w:val="24"/>
          <w:szCs w:val="24"/>
          <w:lang w:val="lt-LT"/>
        </w:rPr>
      </w:pPr>
      <w:r w:rsidRPr="008F197A">
        <w:rPr>
          <w:sz w:val="24"/>
          <w:szCs w:val="24"/>
          <w:lang w:val="lt-LT"/>
        </w:rPr>
        <w:t>S</w:t>
      </w:r>
      <w:r w:rsidR="009D06E2" w:rsidRPr="008F197A">
        <w:rPr>
          <w:sz w:val="24"/>
          <w:szCs w:val="24"/>
          <w:lang w:val="lt-LT"/>
        </w:rPr>
        <w:t xml:space="preserve">iekiama </w:t>
      </w:r>
      <w:r w:rsidR="004F2F8B">
        <w:rPr>
          <w:sz w:val="24"/>
          <w:szCs w:val="24"/>
          <w:lang w:val="lt-LT"/>
        </w:rPr>
        <w:t>suteikti</w:t>
      </w:r>
      <w:r w:rsidR="009D06E2" w:rsidRPr="008F197A">
        <w:rPr>
          <w:sz w:val="24"/>
          <w:szCs w:val="24"/>
          <w:lang w:val="lt-LT"/>
        </w:rPr>
        <w:t xml:space="preserve"> būtiną lankstumą, kurio reikia dėl išskirtinių aplinkybių, kartu užtikrinant kokybės kriterijus, būtinus norint dalyvauti </w:t>
      </w:r>
      <w:r w:rsidR="00FD2303" w:rsidRPr="008F197A">
        <w:rPr>
          <w:sz w:val="24"/>
          <w:szCs w:val="24"/>
          <w:lang w:val="lt-LT"/>
        </w:rPr>
        <w:t>programoje</w:t>
      </w:r>
      <w:r w:rsidR="009D06E2" w:rsidRPr="008F197A">
        <w:rPr>
          <w:sz w:val="24"/>
          <w:szCs w:val="24"/>
          <w:lang w:val="lt-LT"/>
        </w:rPr>
        <w:t xml:space="preserve">. </w:t>
      </w:r>
      <w:r w:rsidR="004F2F8B">
        <w:rPr>
          <w:sz w:val="24"/>
          <w:szCs w:val="24"/>
          <w:lang w:val="lt-LT"/>
        </w:rPr>
        <w:t>Todėl d</w:t>
      </w:r>
      <w:r w:rsidR="0084699B" w:rsidRPr="008F197A">
        <w:rPr>
          <w:sz w:val="24"/>
          <w:szCs w:val="24"/>
          <w:lang w:val="lt-LT"/>
        </w:rPr>
        <w:t>otacijų</w:t>
      </w:r>
      <w:r w:rsidR="009D06E2" w:rsidRPr="008F197A">
        <w:rPr>
          <w:sz w:val="24"/>
          <w:szCs w:val="24"/>
          <w:lang w:val="lt-LT"/>
        </w:rPr>
        <w:t xml:space="preserve"> gavėjai turėtų būti </w:t>
      </w:r>
      <w:r w:rsidR="00FD2303" w:rsidRPr="00744938">
        <w:rPr>
          <w:sz w:val="24"/>
          <w:szCs w:val="24"/>
          <w:lang w:val="lt-LT"/>
        </w:rPr>
        <w:t>lankstūs</w:t>
      </w:r>
      <w:r w:rsidR="009D06E2" w:rsidRPr="00744938">
        <w:rPr>
          <w:sz w:val="24"/>
          <w:szCs w:val="24"/>
          <w:lang w:val="lt-LT"/>
        </w:rPr>
        <w:t xml:space="preserve"> </w:t>
      </w:r>
      <w:r w:rsidR="00FD2303" w:rsidRPr="00744938">
        <w:rPr>
          <w:sz w:val="24"/>
          <w:szCs w:val="24"/>
          <w:lang w:val="lt-LT"/>
        </w:rPr>
        <w:t xml:space="preserve">nagrinėdami </w:t>
      </w:r>
      <w:r w:rsidR="009D06E2" w:rsidRPr="00744938">
        <w:rPr>
          <w:sz w:val="24"/>
          <w:szCs w:val="24"/>
          <w:lang w:val="lt-LT"/>
        </w:rPr>
        <w:t>dalyvių tinkamumo dokumentus</w:t>
      </w:r>
      <w:r w:rsidR="009D06E2" w:rsidRPr="008F197A">
        <w:rPr>
          <w:sz w:val="24"/>
          <w:szCs w:val="24"/>
          <w:lang w:val="lt-LT"/>
        </w:rPr>
        <w:t>.</w:t>
      </w:r>
    </w:p>
    <w:p w14:paraId="4B4582D9" w14:textId="77777777" w:rsidR="009D06E2" w:rsidRPr="008F197A" w:rsidRDefault="009D06E2" w:rsidP="002126BD">
      <w:pPr>
        <w:pStyle w:val="BodyText"/>
        <w:spacing w:line="230" w:lineRule="auto"/>
        <w:ind w:right="628" w:firstLine="3"/>
        <w:jc w:val="both"/>
        <w:rPr>
          <w:sz w:val="24"/>
          <w:szCs w:val="24"/>
          <w:lang w:val="lt-LT"/>
        </w:rPr>
      </w:pPr>
    </w:p>
    <w:p w14:paraId="23242CE4" w14:textId="4ED5EC30" w:rsidR="004A0445" w:rsidRPr="008F197A" w:rsidRDefault="004A0445" w:rsidP="004A0445">
      <w:pPr>
        <w:pStyle w:val="BodyText"/>
        <w:spacing w:line="230" w:lineRule="auto"/>
        <w:ind w:right="-1" w:firstLine="3"/>
        <w:jc w:val="both"/>
        <w:rPr>
          <w:sz w:val="24"/>
          <w:szCs w:val="24"/>
          <w:lang w:val="lt-LT"/>
        </w:rPr>
      </w:pPr>
      <w:r w:rsidRPr="008F197A">
        <w:rPr>
          <w:sz w:val="24"/>
          <w:szCs w:val="24"/>
          <w:lang w:val="lt-LT"/>
        </w:rPr>
        <w:t xml:space="preserve">Pagrindinės šiai priemonei taikomos įgyvendinimo taisyklės </w:t>
      </w:r>
      <w:r w:rsidRPr="008F197A">
        <w:rPr>
          <w:b/>
          <w:spacing w:val="-2"/>
          <w:w w:val="95"/>
          <w:sz w:val="24"/>
          <w:szCs w:val="24"/>
          <w:lang w:val="lt-LT"/>
        </w:rPr>
        <w:t>KA121/122</w:t>
      </w:r>
      <w:r w:rsidRPr="008F197A">
        <w:rPr>
          <w:b/>
          <w:spacing w:val="13"/>
          <w:sz w:val="24"/>
          <w:szCs w:val="24"/>
          <w:lang w:val="lt-LT"/>
        </w:rPr>
        <w:t xml:space="preserve"> </w:t>
      </w:r>
      <w:r w:rsidR="00FD2303" w:rsidRPr="008F197A">
        <w:rPr>
          <w:b/>
          <w:sz w:val="24"/>
          <w:szCs w:val="24"/>
          <w:lang w:val="lt-LT"/>
        </w:rPr>
        <w:t xml:space="preserve">profesinio </w:t>
      </w:r>
      <w:r w:rsidRPr="008F197A">
        <w:rPr>
          <w:b/>
          <w:sz w:val="24"/>
          <w:szCs w:val="24"/>
          <w:lang w:val="lt-LT"/>
        </w:rPr>
        <w:t xml:space="preserve">mokymo, bendrojo ugdymo ir suaugusiųjų švietimo srities darbuotojų </w:t>
      </w:r>
      <w:r w:rsidR="00FD2303" w:rsidRPr="008F197A">
        <w:rPr>
          <w:b/>
          <w:sz w:val="24"/>
          <w:szCs w:val="24"/>
          <w:lang w:val="lt-LT"/>
        </w:rPr>
        <w:t xml:space="preserve">bei </w:t>
      </w:r>
      <w:r w:rsidRPr="008F197A">
        <w:rPr>
          <w:b/>
          <w:sz w:val="24"/>
          <w:szCs w:val="24"/>
          <w:lang w:val="lt-LT"/>
        </w:rPr>
        <w:t>besimokančių asmenų mobilumui</w:t>
      </w:r>
      <w:r w:rsidRPr="008F197A">
        <w:rPr>
          <w:sz w:val="24"/>
          <w:szCs w:val="24"/>
          <w:lang w:val="lt-LT"/>
        </w:rPr>
        <w:t xml:space="preserve"> (dalyvių tinkamumo tikrinimas, papildomo lankstumo suteikimas dėl siunčiančiųjų institucijų Ukrainoje, kurios gali neveikti, įsipareigojimų, priimančiųjų organizacijų vaidmenų, kai nėra siunčiančiosios organizacijos, aprašymas, taikomi įkainiai ir t. t.):</w:t>
      </w:r>
    </w:p>
    <w:p w14:paraId="47DCD22A" w14:textId="7D775F35" w:rsidR="000F0BC4" w:rsidRPr="008F197A" w:rsidRDefault="000F0BC4" w:rsidP="002126BD">
      <w:pPr>
        <w:pStyle w:val="BodyText"/>
        <w:spacing w:line="230" w:lineRule="auto"/>
        <w:ind w:right="628" w:firstLine="3"/>
        <w:jc w:val="both"/>
        <w:rPr>
          <w:sz w:val="24"/>
          <w:szCs w:val="24"/>
          <w:lang w:val="lt-LT"/>
        </w:rPr>
      </w:pPr>
    </w:p>
    <w:p w14:paraId="4A6E18E9" w14:textId="77777777" w:rsidR="000F0BC4" w:rsidRPr="008F197A" w:rsidRDefault="000F0BC4" w:rsidP="004F2F8B">
      <w:pPr>
        <w:pStyle w:val="TableParagraph"/>
        <w:spacing w:line="258" w:lineRule="exact"/>
        <w:rPr>
          <w:rFonts w:ascii="Times New Roman" w:hAnsi="Times New Roman" w:cs="Times New Roman"/>
          <w:sz w:val="24"/>
          <w:szCs w:val="24"/>
          <w:lang w:val="lt-LT"/>
        </w:rPr>
      </w:pPr>
      <w:r w:rsidRPr="008F197A">
        <w:rPr>
          <w:rFonts w:ascii="Times New Roman" w:hAnsi="Times New Roman" w:cs="Times New Roman"/>
          <w:w w:val="95"/>
          <w:sz w:val="24"/>
          <w:szCs w:val="24"/>
          <w:u w:val="single"/>
          <w:lang w:val="lt-LT"/>
        </w:rPr>
        <w:t>Tinkamumo taisyklės iš Ukrainos atvykstantiems dalyviams:</w:t>
      </w:r>
    </w:p>
    <w:p w14:paraId="7CBE8F4A" w14:textId="77777777" w:rsidR="000F0BC4" w:rsidRPr="00744938" w:rsidRDefault="000F0BC4" w:rsidP="00690D2A">
      <w:pPr>
        <w:pStyle w:val="TableParagraph"/>
        <w:numPr>
          <w:ilvl w:val="0"/>
          <w:numId w:val="1"/>
        </w:numPr>
        <w:tabs>
          <w:tab w:val="left" w:pos="350"/>
          <w:tab w:val="left" w:pos="842"/>
          <w:tab w:val="left" w:pos="843"/>
        </w:tabs>
        <w:spacing w:after="60" w:line="280" w:lineRule="exact"/>
        <w:ind w:left="284" w:hanging="284"/>
        <w:jc w:val="both"/>
        <w:rPr>
          <w:rFonts w:ascii="Times New Roman" w:hAnsi="Times New Roman" w:cs="Times New Roman"/>
          <w:sz w:val="24"/>
          <w:szCs w:val="24"/>
          <w:lang w:val="lt-LT"/>
        </w:rPr>
      </w:pPr>
      <w:r w:rsidRPr="00744938">
        <w:rPr>
          <w:rFonts w:ascii="Times New Roman" w:hAnsi="Times New Roman" w:cs="Times New Roman"/>
          <w:sz w:val="24"/>
          <w:szCs w:val="24"/>
          <w:lang w:val="lt-LT"/>
        </w:rPr>
        <w:t>Profesinio mokymo ir (arba) suaugusiųjų švietimo srities besimokantiems asmenims: buvo įstoję į profesinio mokymo ir (arba) suaugusiųjų švietimo programą tuo metu, kai bėgo iš Ukrainos dėl Rusijos agresijos.</w:t>
      </w:r>
    </w:p>
    <w:p w14:paraId="358C0943" w14:textId="77777777" w:rsidR="000F0BC4" w:rsidRPr="00744938" w:rsidRDefault="000F0BC4" w:rsidP="00690D2A">
      <w:pPr>
        <w:pStyle w:val="TableParagraph"/>
        <w:numPr>
          <w:ilvl w:val="0"/>
          <w:numId w:val="1"/>
        </w:numPr>
        <w:tabs>
          <w:tab w:val="left" w:pos="350"/>
          <w:tab w:val="left" w:pos="842"/>
          <w:tab w:val="left" w:pos="843"/>
        </w:tabs>
        <w:spacing w:after="60" w:line="280" w:lineRule="exact"/>
        <w:ind w:left="284" w:hanging="284"/>
        <w:jc w:val="both"/>
        <w:rPr>
          <w:rFonts w:ascii="Times New Roman" w:hAnsi="Times New Roman" w:cs="Times New Roman"/>
          <w:sz w:val="24"/>
          <w:szCs w:val="24"/>
          <w:lang w:val="lt-LT"/>
        </w:rPr>
      </w:pPr>
      <w:r w:rsidRPr="00744938">
        <w:rPr>
          <w:rFonts w:ascii="Times New Roman" w:hAnsi="Times New Roman" w:cs="Times New Roman"/>
          <w:sz w:val="24"/>
          <w:szCs w:val="24"/>
          <w:lang w:val="lt-LT"/>
        </w:rPr>
        <w:t>Moksleiviams: būti mokyklinio amžiaus pagal priimančiosios šalies įstatymus.</w:t>
      </w:r>
    </w:p>
    <w:p w14:paraId="584C2116" w14:textId="77777777" w:rsidR="000F0BC4" w:rsidRPr="00744938" w:rsidRDefault="000F0BC4" w:rsidP="00690D2A">
      <w:pPr>
        <w:pStyle w:val="TableParagraph"/>
        <w:numPr>
          <w:ilvl w:val="0"/>
          <w:numId w:val="1"/>
        </w:numPr>
        <w:tabs>
          <w:tab w:val="left" w:pos="350"/>
          <w:tab w:val="left" w:pos="842"/>
          <w:tab w:val="left" w:pos="843"/>
        </w:tabs>
        <w:spacing w:after="60" w:line="280" w:lineRule="exact"/>
        <w:ind w:left="284" w:hanging="284"/>
        <w:jc w:val="both"/>
        <w:rPr>
          <w:rFonts w:ascii="Times New Roman" w:hAnsi="Times New Roman" w:cs="Times New Roman"/>
          <w:sz w:val="24"/>
          <w:szCs w:val="24"/>
          <w:lang w:val="lt-LT"/>
        </w:rPr>
      </w:pPr>
      <w:r w:rsidRPr="00744938">
        <w:rPr>
          <w:rFonts w:ascii="Times New Roman" w:hAnsi="Times New Roman" w:cs="Times New Roman"/>
          <w:sz w:val="24"/>
          <w:szCs w:val="24"/>
          <w:lang w:val="lt-LT"/>
        </w:rPr>
        <w:t>Darbuotojams: būti įdarbintiems profesinio mokymo ir (arba) bendrojo ugdymo ir (arba) suaugusiųjų švietimo organizacijoje tuo metu, kai bėgo iš Ukrainos dėl Rusijos agresijos, ARBA turėti atitinkamą kvalifikaciją.</w:t>
      </w:r>
    </w:p>
    <w:p w14:paraId="7B9E2959" w14:textId="7FD2BA63" w:rsidR="000F0BC4" w:rsidRPr="00744938" w:rsidRDefault="000F0BC4" w:rsidP="00690D2A">
      <w:pPr>
        <w:pStyle w:val="TableParagraph"/>
        <w:numPr>
          <w:ilvl w:val="0"/>
          <w:numId w:val="1"/>
        </w:numPr>
        <w:tabs>
          <w:tab w:val="left" w:pos="350"/>
          <w:tab w:val="left" w:pos="842"/>
          <w:tab w:val="left" w:pos="843"/>
        </w:tabs>
        <w:spacing w:after="60" w:line="280" w:lineRule="exact"/>
        <w:ind w:left="284" w:hanging="284"/>
        <w:jc w:val="both"/>
        <w:rPr>
          <w:rFonts w:ascii="Times New Roman" w:hAnsi="Times New Roman" w:cs="Times New Roman"/>
          <w:sz w:val="24"/>
          <w:szCs w:val="24"/>
          <w:lang w:val="lt-LT"/>
        </w:rPr>
      </w:pPr>
      <w:r w:rsidRPr="00744938">
        <w:rPr>
          <w:rFonts w:ascii="Times New Roman" w:hAnsi="Times New Roman" w:cs="Times New Roman"/>
          <w:sz w:val="24"/>
          <w:szCs w:val="24"/>
          <w:lang w:val="lt-LT"/>
        </w:rPr>
        <w:t xml:space="preserve">Kviestiniams ekspertams: turėti </w:t>
      </w:r>
      <w:r w:rsidR="00E85083" w:rsidRPr="00744938">
        <w:rPr>
          <w:rFonts w:ascii="Times New Roman" w:hAnsi="Times New Roman" w:cs="Times New Roman"/>
          <w:sz w:val="24"/>
          <w:szCs w:val="24"/>
          <w:lang w:val="lt-LT"/>
        </w:rPr>
        <w:t xml:space="preserve">reikiamą </w:t>
      </w:r>
      <w:r w:rsidRPr="00744938">
        <w:rPr>
          <w:rFonts w:ascii="Times New Roman" w:hAnsi="Times New Roman" w:cs="Times New Roman"/>
          <w:sz w:val="24"/>
          <w:szCs w:val="24"/>
          <w:lang w:val="lt-LT"/>
        </w:rPr>
        <w:t>kompetenciją, atitinkančią kviečiančiosios organizacijos poreikius (kaip ir ES viduje).</w:t>
      </w:r>
    </w:p>
    <w:p w14:paraId="7DA52BCC" w14:textId="77777777" w:rsidR="000F0BC4" w:rsidRPr="00744938" w:rsidRDefault="000F0BC4" w:rsidP="004F2F8B">
      <w:pPr>
        <w:pStyle w:val="TableParagraph"/>
        <w:spacing w:after="60"/>
        <w:rPr>
          <w:rFonts w:ascii="Times New Roman" w:hAnsi="Times New Roman" w:cs="Times New Roman"/>
          <w:b/>
          <w:sz w:val="24"/>
          <w:szCs w:val="24"/>
          <w:lang w:val="lt-LT"/>
        </w:rPr>
      </w:pPr>
    </w:p>
    <w:p w14:paraId="448E23AD" w14:textId="77777777" w:rsidR="000F0BC4" w:rsidRPr="00744938" w:rsidRDefault="000F0BC4" w:rsidP="00690D2A">
      <w:pPr>
        <w:pStyle w:val="TableParagraph"/>
        <w:rPr>
          <w:rFonts w:ascii="Times New Roman" w:hAnsi="Times New Roman" w:cs="Times New Roman"/>
          <w:sz w:val="24"/>
          <w:szCs w:val="24"/>
          <w:lang w:val="lt-LT"/>
        </w:rPr>
      </w:pPr>
      <w:r w:rsidRPr="00744938">
        <w:rPr>
          <w:rFonts w:ascii="Times New Roman" w:hAnsi="Times New Roman" w:cs="Times New Roman"/>
          <w:w w:val="95"/>
          <w:sz w:val="24"/>
          <w:szCs w:val="24"/>
          <w:u w:val="single" w:color="0F0F0F"/>
          <w:lang w:val="lt-LT"/>
        </w:rPr>
        <w:t>Kaip nustatomas tinkamumas</w:t>
      </w:r>
      <w:r w:rsidRPr="00744938">
        <w:rPr>
          <w:rFonts w:ascii="Times New Roman" w:hAnsi="Times New Roman" w:cs="Times New Roman"/>
          <w:spacing w:val="-2"/>
          <w:w w:val="95"/>
          <w:sz w:val="24"/>
          <w:szCs w:val="24"/>
          <w:u w:val="single" w:color="0F0F0F"/>
          <w:lang w:val="lt-LT"/>
        </w:rPr>
        <w:t>?</w:t>
      </w:r>
      <w:r w:rsidRPr="00744938">
        <w:rPr>
          <w:rFonts w:ascii="Times New Roman" w:hAnsi="Times New Roman" w:cs="Times New Roman"/>
          <w:spacing w:val="40"/>
          <w:sz w:val="24"/>
          <w:szCs w:val="24"/>
          <w:u w:val="single" w:color="0F0F0F"/>
          <w:lang w:val="lt-LT"/>
        </w:rPr>
        <w:t xml:space="preserve"> </w:t>
      </w:r>
    </w:p>
    <w:p w14:paraId="1BFB7359" w14:textId="111AC26C" w:rsidR="000F0BC4" w:rsidRPr="00744938" w:rsidRDefault="000F0BC4" w:rsidP="00690D2A">
      <w:pPr>
        <w:pStyle w:val="TableParagraph"/>
        <w:spacing w:after="60"/>
        <w:rPr>
          <w:rFonts w:ascii="Times New Roman" w:hAnsi="Times New Roman" w:cs="Times New Roman"/>
          <w:sz w:val="24"/>
          <w:szCs w:val="24"/>
          <w:lang w:val="lt-LT"/>
        </w:rPr>
      </w:pPr>
      <w:r w:rsidRPr="00744938">
        <w:rPr>
          <w:rFonts w:ascii="Times New Roman" w:hAnsi="Times New Roman" w:cs="Times New Roman"/>
          <w:sz w:val="24"/>
          <w:szCs w:val="24"/>
          <w:lang w:val="lt-LT"/>
        </w:rPr>
        <w:t xml:space="preserve">Priimančioji organizacija tinkamumą tikrina remdamasi dalyvio dokumentais. </w:t>
      </w:r>
    </w:p>
    <w:p w14:paraId="1884EC76" w14:textId="77777777" w:rsidR="000F0BC4" w:rsidRPr="00744938" w:rsidRDefault="000F0BC4" w:rsidP="00690D2A">
      <w:pPr>
        <w:pStyle w:val="TableParagraph"/>
        <w:spacing w:after="60"/>
        <w:rPr>
          <w:rFonts w:ascii="Times New Roman" w:hAnsi="Times New Roman" w:cs="Times New Roman"/>
          <w:sz w:val="24"/>
          <w:szCs w:val="24"/>
          <w:lang w:val="lt-LT"/>
        </w:rPr>
      </w:pPr>
      <w:r w:rsidRPr="00744938">
        <w:rPr>
          <w:rFonts w:ascii="Times New Roman" w:hAnsi="Times New Roman" w:cs="Times New Roman"/>
          <w:sz w:val="24"/>
          <w:szCs w:val="24"/>
          <w:lang w:val="lt-LT"/>
        </w:rPr>
        <w:t>Priimtinų dokumentų pavyzdžiai:</w:t>
      </w:r>
    </w:p>
    <w:p w14:paraId="3E701726" w14:textId="4AA16A7F" w:rsidR="000F0BC4" w:rsidRPr="008F197A" w:rsidRDefault="000F0BC4" w:rsidP="00690D2A">
      <w:pPr>
        <w:pStyle w:val="TableParagraph"/>
        <w:numPr>
          <w:ilvl w:val="1"/>
          <w:numId w:val="1"/>
        </w:numPr>
        <w:tabs>
          <w:tab w:val="left" w:pos="426"/>
          <w:tab w:val="left" w:pos="1202"/>
          <w:tab w:val="left" w:pos="1203"/>
        </w:tabs>
        <w:spacing w:after="60"/>
        <w:ind w:left="0" w:right="-1" w:firstLine="0"/>
        <w:rPr>
          <w:rFonts w:ascii="Times New Roman" w:hAnsi="Times New Roman" w:cs="Times New Roman"/>
          <w:sz w:val="24"/>
          <w:szCs w:val="24"/>
          <w:lang w:val="lt-LT"/>
        </w:rPr>
      </w:pPr>
      <w:r w:rsidRPr="00744938">
        <w:rPr>
          <w:rFonts w:ascii="Times New Roman" w:hAnsi="Times New Roman" w:cs="Times New Roman"/>
          <w:w w:val="95"/>
          <w:sz w:val="24"/>
          <w:szCs w:val="24"/>
          <w:lang w:val="lt-LT"/>
        </w:rPr>
        <w:t>Besimokantiems asmenims</w:t>
      </w:r>
      <w:r w:rsidRPr="00744938">
        <w:rPr>
          <w:rFonts w:ascii="Times New Roman" w:hAnsi="Times New Roman" w:cs="Times New Roman"/>
          <w:sz w:val="24"/>
          <w:szCs w:val="24"/>
          <w:lang w:val="lt-LT"/>
        </w:rPr>
        <w:t>: registracijos pažymėjimai, mokyklos įrašai, pažymių įrašai, švietimo įstaigų arba atitinkamų Ukrainos ins</w:t>
      </w:r>
      <w:r w:rsidRPr="008F197A">
        <w:rPr>
          <w:rFonts w:ascii="Times New Roman" w:hAnsi="Times New Roman" w:cs="Times New Roman"/>
          <w:sz w:val="24"/>
          <w:szCs w:val="24"/>
          <w:lang w:val="lt-LT"/>
        </w:rPr>
        <w:t xml:space="preserve">titucijų išduotos </w:t>
      </w:r>
      <w:r w:rsidR="002C4F91" w:rsidRPr="008F197A">
        <w:rPr>
          <w:rFonts w:ascii="Times New Roman" w:hAnsi="Times New Roman" w:cs="Times New Roman"/>
          <w:sz w:val="24"/>
          <w:szCs w:val="24"/>
          <w:lang w:val="lt-LT"/>
        </w:rPr>
        <w:t>pažymos</w:t>
      </w:r>
      <w:r w:rsidRPr="008F197A">
        <w:rPr>
          <w:rFonts w:ascii="Times New Roman" w:hAnsi="Times New Roman" w:cs="Times New Roman"/>
          <w:sz w:val="24"/>
          <w:szCs w:val="24"/>
          <w:lang w:val="lt-LT"/>
        </w:rPr>
        <w:t>.</w:t>
      </w:r>
    </w:p>
    <w:p w14:paraId="6D34F40E" w14:textId="2D7F6BFF" w:rsidR="000F0BC4" w:rsidRPr="008F197A" w:rsidRDefault="000F0BC4" w:rsidP="00690D2A">
      <w:pPr>
        <w:pStyle w:val="TableParagraph"/>
        <w:numPr>
          <w:ilvl w:val="1"/>
          <w:numId w:val="1"/>
        </w:numPr>
        <w:tabs>
          <w:tab w:val="left" w:pos="426"/>
          <w:tab w:val="left" w:pos="1202"/>
          <w:tab w:val="left" w:pos="1203"/>
        </w:tabs>
        <w:spacing w:after="60"/>
        <w:ind w:left="0" w:right="-1" w:firstLine="0"/>
        <w:jc w:val="both"/>
        <w:rPr>
          <w:rFonts w:ascii="Times New Roman" w:hAnsi="Times New Roman" w:cs="Times New Roman"/>
          <w:sz w:val="24"/>
          <w:szCs w:val="24"/>
          <w:lang w:val="lt-LT"/>
        </w:rPr>
      </w:pPr>
      <w:r w:rsidRPr="008F197A">
        <w:rPr>
          <w:rFonts w:ascii="Times New Roman" w:hAnsi="Times New Roman" w:cs="Times New Roman"/>
          <w:w w:val="95"/>
          <w:sz w:val="24"/>
          <w:szCs w:val="24"/>
          <w:lang w:val="lt-LT"/>
        </w:rPr>
        <w:t>Darbuotojams</w:t>
      </w:r>
      <w:r w:rsidRPr="008F197A">
        <w:rPr>
          <w:rFonts w:ascii="Times New Roman" w:hAnsi="Times New Roman" w:cs="Times New Roman"/>
          <w:sz w:val="24"/>
          <w:szCs w:val="24"/>
          <w:lang w:val="lt-LT"/>
        </w:rPr>
        <w:t xml:space="preserve">: darbo užmokesčio lapeliai, mokytojų ir (arba) </w:t>
      </w:r>
      <w:r w:rsidR="002C4F91" w:rsidRPr="008F197A">
        <w:rPr>
          <w:rFonts w:ascii="Times New Roman" w:hAnsi="Times New Roman" w:cs="Times New Roman"/>
          <w:sz w:val="24"/>
          <w:szCs w:val="24"/>
          <w:lang w:val="lt-LT"/>
        </w:rPr>
        <w:t xml:space="preserve">kitų </w:t>
      </w:r>
      <w:r w:rsidRPr="008F197A">
        <w:rPr>
          <w:rFonts w:ascii="Times New Roman" w:hAnsi="Times New Roman" w:cs="Times New Roman"/>
          <w:sz w:val="24"/>
          <w:szCs w:val="24"/>
          <w:lang w:val="lt-LT"/>
        </w:rPr>
        <w:t xml:space="preserve">darbuotojų diplomai, darbo sutartys, švietimo įstaigų arba atitinkamų Ukrainos institucijų išduotos </w:t>
      </w:r>
      <w:r w:rsidR="002C4F91" w:rsidRPr="008F197A">
        <w:rPr>
          <w:rFonts w:ascii="Times New Roman" w:hAnsi="Times New Roman" w:cs="Times New Roman"/>
          <w:sz w:val="24"/>
          <w:szCs w:val="24"/>
          <w:lang w:val="lt-LT"/>
        </w:rPr>
        <w:t>pažymos</w:t>
      </w:r>
      <w:r w:rsidRPr="008F197A">
        <w:rPr>
          <w:rFonts w:ascii="Times New Roman" w:hAnsi="Times New Roman" w:cs="Times New Roman"/>
          <w:sz w:val="24"/>
          <w:szCs w:val="24"/>
          <w:lang w:val="lt-LT"/>
        </w:rPr>
        <w:t>.</w:t>
      </w:r>
    </w:p>
    <w:p w14:paraId="2383A277" w14:textId="4CC5D442" w:rsidR="000F0BC4" w:rsidRDefault="00F54AA6" w:rsidP="00690D2A">
      <w:pPr>
        <w:pStyle w:val="TableParagraph"/>
        <w:tabs>
          <w:tab w:val="left" w:pos="426"/>
        </w:tabs>
        <w:spacing w:before="10"/>
        <w:rPr>
          <w:rFonts w:ascii="Times New Roman" w:hAnsi="Times New Roman" w:cs="Times New Roman"/>
          <w:sz w:val="24"/>
          <w:szCs w:val="24"/>
          <w:lang w:val="lt-LT"/>
        </w:rPr>
      </w:pPr>
      <w:r>
        <w:rPr>
          <w:rFonts w:ascii="Times New Roman" w:hAnsi="Times New Roman" w:cs="Times New Roman"/>
          <w:sz w:val="24"/>
          <w:szCs w:val="24"/>
          <w:lang w:val="lt-LT"/>
        </w:rPr>
        <w:t>N</w:t>
      </w:r>
      <w:r w:rsidRPr="00744938">
        <w:rPr>
          <w:rFonts w:ascii="Times New Roman" w:hAnsi="Times New Roman" w:cs="Times New Roman"/>
          <w:sz w:val="24"/>
          <w:szCs w:val="24"/>
          <w:lang w:val="lt-LT"/>
        </w:rPr>
        <w:t>acionalinė agentūr</w:t>
      </w:r>
      <w:r>
        <w:rPr>
          <w:rFonts w:ascii="Times New Roman" w:hAnsi="Times New Roman" w:cs="Times New Roman"/>
          <w:sz w:val="24"/>
          <w:szCs w:val="24"/>
          <w:lang w:val="lt-LT"/>
        </w:rPr>
        <w:t>a prašys dotacijos gavėjo deklaracijos</w:t>
      </w:r>
      <w:r w:rsidRPr="00744938">
        <w:rPr>
          <w:rFonts w:ascii="Times New Roman" w:hAnsi="Times New Roman" w:cs="Times New Roman"/>
          <w:sz w:val="24"/>
          <w:szCs w:val="24"/>
          <w:lang w:val="lt-LT"/>
        </w:rPr>
        <w:t xml:space="preserve">, </w:t>
      </w:r>
      <w:r>
        <w:rPr>
          <w:rFonts w:ascii="Times New Roman" w:hAnsi="Times New Roman" w:cs="Times New Roman"/>
          <w:sz w:val="24"/>
          <w:szCs w:val="24"/>
          <w:lang w:val="lt-LT"/>
        </w:rPr>
        <w:t>kuria jie patvirtins dalyvių tinkamumą</w:t>
      </w:r>
      <w:r w:rsidRPr="00744938">
        <w:rPr>
          <w:rFonts w:ascii="Times New Roman" w:hAnsi="Times New Roman" w:cs="Times New Roman"/>
          <w:sz w:val="24"/>
          <w:szCs w:val="24"/>
          <w:lang w:val="lt-LT"/>
        </w:rPr>
        <w:t>.</w:t>
      </w:r>
    </w:p>
    <w:p w14:paraId="64876505" w14:textId="77777777" w:rsidR="00F54AA6" w:rsidRPr="008F197A" w:rsidRDefault="00F54AA6" w:rsidP="000F0BC4">
      <w:pPr>
        <w:pStyle w:val="TableParagraph"/>
        <w:spacing w:before="10"/>
        <w:rPr>
          <w:rFonts w:ascii="Times New Roman" w:hAnsi="Times New Roman" w:cs="Times New Roman"/>
          <w:b/>
          <w:sz w:val="24"/>
          <w:szCs w:val="24"/>
          <w:lang w:val="lt-LT"/>
        </w:rPr>
      </w:pPr>
    </w:p>
    <w:p w14:paraId="0BFC7FEF" w14:textId="77777777" w:rsidR="000F0BC4" w:rsidRPr="00744938" w:rsidRDefault="000F0BC4" w:rsidP="00690D2A">
      <w:pPr>
        <w:pStyle w:val="TableParagraph"/>
        <w:spacing w:after="60" w:line="280" w:lineRule="exact"/>
        <w:rPr>
          <w:rFonts w:ascii="Times New Roman" w:hAnsi="Times New Roman" w:cs="Times New Roman"/>
          <w:sz w:val="24"/>
          <w:szCs w:val="24"/>
          <w:lang w:val="lt-LT"/>
        </w:rPr>
      </w:pPr>
      <w:r w:rsidRPr="00744938">
        <w:rPr>
          <w:rFonts w:ascii="Times New Roman" w:hAnsi="Times New Roman" w:cs="Times New Roman"/>
          <w:spacing w:val="-2"/>
          <w:w w:val="95"/>
          <w:sz w:val="24"/>
          <w:szCs w:val="24"/>
          <w:u w:val="single" w:color="282828"/>
          <w:lang w:val="lt-LT"/>
        </w:rPr>
        <w:t>Finansavimo taisyklės</w:t>
      </w:r>
      <w:r w:rsidRPr="00744938">
        <w:rPr>
          <w:rFonts w:ascii="Times New Roman" w:hAnsi="Times New Roman" w:cs="Times New Roman"/>
          <w:spacing w:val="-2"/>
          <w:sz w:val="24"/>
          <w:szCs w:val="24"/>
          <w:u w:val="single" w:color="282828"/>
          <w:lang w:val="lt-LT"/>
        </w:rPr>
        <w:t>:</w:t>
      </w:r>
    </w:p>
    <w:p w14:paraId="70C498FC" w14:textId="2C9DE077" w:rsidR="000F0BC4" w:rsidRPr="008F197A" w:rsidRDefault="000F0BC4" w:rsidP="00690D2A">
      <w:pPr>
        <w:pStyle w:val="TableParagraph"/>
        <w:numPr>
          <w:ilvl w:val="0"/>
          <w:numId w:val="1"/>
        </w:numPr>
        <w:tabs>
          <w:tab w:val="left" w:pos="284"/>
        </w:tabs>
        <w:spacing w:after="60" w:line="280" w:lineRule="exact"/>
        <w:ind w:hanging="848"/>
        <w:jc w:val="both"/>
        <w:rPr>
          <w:rFonts w:ascii="Times New Roman" w:hAnsi="Times New Roman" w:cs="Times New Roman"/>
          <w:sz w:val="24"/>
          <w:szCs w:val="24"/>
          <w:lang w:val="lt-LT"/>
        </w:rPr>
      </w:pPr>
      <w:r w:rsidRPr="00744938">
        <w:rPr>
          <w:rFonts w:ascii="Times New Roman" w:hAnsi="Times New Roman" w:cs="Times New Roman"/>
          <w:sz w:val="24"/>
          <w:szCs w:val="24"/>
          <w:lang w:val="lt-LT"/>
        </w:rPr>
        <w:t xml:space="preserve">Individuali parama: taikomas </w:t>
      </w:r>
      <w:r w:rsidR="002C4F91" w:rsidRPr="00744938">
        <w:rPr>
          <w:rFonts w:ascii="Times New Roman" w:hAnsi="Times New Roman" w:cs="Times New Roman"/>
          <w:sz w:val="24"/>
          <w:szCs w:val="24"/>
          <w:lang w:val="lt-LT"/>
        </w:rPr>
        <w:t xml:space="preserve">priimančiosios </w:t>
      </w:r>
      <w:r w:rsidRPr="00744938">
        <w:rPr>
          <w:rFonts w:ascii="Times New Roman" w:hAnsi="Times New Roman" w:cs="Times New Roman"/>
          <w:sz w:val="24"/>
          <w:szCs w:val="24"/>
          <w:lang w:val="lt-LT"/>
        </w:rPr>
        <w:t>šalies įkainis (toks pat kaip ir ES viduje).</w:t>
      </w:r>
    </w:p>
    <w:p w14:paraId="412DFF59" w14:textId="77777777" w:rsidR="000F0BC4" w:rsidRPr="008F197A" w:rsidRDefault="000F0BC4" w:rsidP="00690D2A">
      <w:pPr>
        <w:pStyle w:val="TableParagraph"/>
        <w:numPr>
          <w:ilvl w:val="0"/>
          <w:numId w:val="1"/>
        </w:numPr>
        <w:tabs>
          <w:tab w:val="left" w:pos="284"/>
        </w:tabs>
        <w:spacing w:after="60" w:line="280" w:lineRule="exact"/>
        <w:ind w:hanging="848"/>
        <w:jc w:val="both"/>
        <w:rPr>
          <w:rFonts w:ascii="Times New Roman" w:hAnsi="Times New Roman" w:cs="Times New Roman"/>
          <w:sz w:val="24"/>
          <w:szCs w:val="24"/>
          <w:lang w:val="lt-LT"/>
        </w:rPr>
      </w:pPr>
      <w:r w:rsidRPr="008F197A">
        <w:rPr>
          <w:rFonts w:ascii="Times New Roman" w:hAnsi="Times New Roman" w:cs="Times New Roman"/>
          <w:sz w:val="24"/>
          <w:szCs w:val="24"/>
          <w:lang w:val="lt-LT"/>
        </w:rPr>
        <w:t>Organizacinė parama: tokia pati kaip tarptautinio profesinio mokymo atveju (500 EUR).</w:t>
      </w:r>
    </w:p>
    <w:p w14:paraId="1CA9C04B" w14:textId="77777777" w:rsidR="000F0BC4" w:rsidRPr="008F197A" w:rsidRDefault="000F0BC4" w:rsidP="00690D2A">
      <w:pPr>
        <w:pStyle w:val="TableParagraph"/>
        <w:numPr>
          <w:ilvl w:val="0"/>
          <w:numId w:val="1"/>
        </w:numPr>
        <w:tabs>
          <w:tab w:val="left" w:pos="284"/>
        </w:tabs>
        <w:spacing w:after="60" w:line="280" w:lineRule="exact"/>
        <w:ind w:hanging="848"/>
        <w:jc w:val="both"/>
        <w:rPr>
          <w:rFonts w:ascii="Times New Roman" w:hAnsi="Times New Roman" w:cs="Times New Roman"/>
          <w:sz w:val="24"/>
          <w:szCs w:val="24"/>
          <w:lang w:val="lt-LT"/>
        </w:rPr>
      </w:pPr>
      <w:r w:rsidRPr="008F197A">
        <w:rPr>
          <w:rFonts w:ascii="Times New Roman" w:hAnsi="Times New Roman" w:cs="Times New Roman"/>
          <w:sz w:val="24"/>
          <w:szCs w:val="24"/>
          <w:lang w:val="lt-LT"/>
        </w:rPr>
        <w:t>Kalbinė parama: didesnė parama kaip ir ilgalaikei veiklai (daugiausia 300 EUR).</w:t>
      </w:r>
    </w:p>
    <w:p w14:paraId="3742B13F" w14:textId="3A611271" w:rsidR="000F0BC4" w:rsidRPr="00744938" w:rsidRDefault="000F0BC4" w:rsidP="00690D2A">
      <w:pPr>
        <w:pStyle w:val="TableParagraph"/>
        <w:numPr>
          <w:ilvl w:val="0"/>
          <w:numId w:val="1"/>
        </w:numPr>
        <w:tabs>
          <w:tab w:val="left" w:pos="284"/>
        </w:tabs>
        <w:spacing w:after="60" w:line="280" w:lineRule="exact"/>
        <w:ind w:left="284" w:hanging="284"/>
        <w:jc w:val="both"/>
        <w:rPr>
          <w:rFonts w:ascii="Times New Roman" w:hAnsi="Times New Roman" w:cs="Times New Roman"/>
          <w:sz w:val="24"/>
          <w:szCs w:val="24"/>
          <w:lang w:val="lt-LT"/>
        </w:rPr>
      </w:pPr>
      <w:r w:rsidRPr="008F197A">
        <w:rPr>
          <w:rFonts w:ascii="Times New Roman" w:hAnsi="Times New Roman" w:cs="Times New Roman"/>
          <w:sz w:val="24"/>
          <w:szCs w:val="24"/>
          <w:lang w:val="lt-LT"/>
        </w:rPr>
        <w:t xml:space="preserve">Kelionėms, </w:t>
      </w:r>
      <w:r w:rsidR="001406EA" w:rsidRPr="00744938">
        <w:rPr>
          <w:rFonts w:ascii="Times New Roman" w:hAnsi="Times New Roman" w:cs="Times New Roman"/>
          <w:sz w:val="24"/>
          <w:szCs w:val="24"/>
          <w:lang w:val="lt-LT"/>
        </w:rPr>
        <w:t>įtraukties rėmimui</w:t>
      </w:r>
      <w:r w:rsidRPr="00744938">
        <w:rPr>
          <w:rFonts w:ascii="Times New Roman" w:hAnsi="Times New Roman" w:cs="Times New Roman"/>
          <w:sz w:val="24"/>
          <w:szCs w:val="24"/>
          <w:lang w:val="lt-LT"/>
        </w:rPr>
        <w:t xml:space="preserve">, parengiamiesiems vizitams, kursų mokesčiams ir </w:t>
      </w:r>
      <w:r w:rsidR="002C4F91" w:rsidRPr="00744938">
        <w:rPr>
          <w:rFonts w:ascii="Times New Roman" w:hAnsi="Times New Roman" w:cs="Times New Roman"/>
          <w:sz w:val="24"/>
          <w:szCs w:val="24"/>
          <w:lang w:val="lt-LT"/>
        </w:rPr>
        <w:t xml:space="preserve">išimtinėms </w:t>
      </w:r>
      <w:r w:rsidRPr="00744938">
        <w:rPr>
          <w:rFonts w:ascii="Times New Roman" w:hAnsi="Times New Roman" w:cs="Times New Roman"/>
          <w:sz w:val="24"/>
          <w:szCs w:val="24"/>
          <w:lang w:val="lt-LT"/>
        </w:rPr>
        <w:t>išlaidoms: tos pačios taisyklės kaip ir ES vidaus veikloms.</w:t>
      </w:r>
    </w:p>
    <w:p w14:paraId="149699FA" w14:textId="77777777" w:rsidR="000F0BC4" w:rsidRPr="00744938" w:rsidRDefault="000F0BC4" w:rsidP="00690D2A">
      <w:pPr>
        <w:pStyle w:val="TableParagraph"/>
        <w:jc w:val="both"/>
        <w:rPr>
          <w:rFonts w:ascii="Times New Roman" w:hAnsi="Times New Roman" w:cs="Times New Roman"/>
          <w:b/>
          <w:sz w:val="24"/>
          <w:szCs w:val="24"/>
          <w:lang w:val="lt-LT"/>
        </w:rPr>
      </w:pPr>
    </w:p>
    <w:p w14:paraId="709DC85C" w14:textId="77777777" w:rsidR="000F0BC4" w:rsidRPr="00744938" w:rsidRDefault="000F0BC4" w:rsidP="00690D2A">
      <w:pPr>
        <w:pStyle w:val="TableParagraph"/>
        <w:spacing w:after="60" w:line="280" w:lineRule="exact"/>
        <w:rPr>
          <w:rFonts w:ascii="Times New Roman" w:hAnsi="Times New Roman" w:cs="Times New Roman"/>
          <w:sz w:val="24"/>
          <w:szCs w:val="24"/>
          <w:lang w:val="lt-LT"/>
        </w:rPr>
      </w:pPr>
      <w:r w:rsidRPr="00744938">
        <w:rPr>
          <w:rFonts w:ascii="Times New Roman" w:hAnsi="Times New Roman" w:cs="Times New Roman"/>
          <w:w w:val="95"/>
          <w:sz w:val="24"/>
          <w:szCs w:val="24"/>
          <w:u w:val="single" w:color="1F1F1F"/>
          <w:lang w:val="lt-LT"/>
        </w:rPr>
        <w:t>Praktiniai įgyvendinimo aspektai:</w:t>
      </w:r>
    </w:p>
    <w:p w14:paraId="701C68A1" w14:textId="390D3C30" w:rsidR="000F0BC4" w:rsidRPr="00744938" w:rsidRDefault="000F0BC4" w:rsidP="00690D2A">
      <w:pPr>
        <w:pStyle w:val="TableParagraph"/>
        <w:numPr>
          <w:ilvl w:val="0"/>
          <w:numId w:val="1"/>
        </w:numPr>
        <w:tabs>
          <w:tab w:val="left" w:pos="284"/>
        </w:tabs>
        <w:spacing w:after="60" w:line="230" w:lineRule="auto"/>
        <w:ind w:left="284" w:hanging="284"/>
        <w:jc w:val="both"/>
        <w:rPr>
          <w:rFonts w:ascii="Times New Roman" w:hAnsi="Times New Roman" w:cs="Times New Roman"/>
          <w:sz w:val="24"/>
          <w:szCs w:val="24"/>
          <w:lang w:val="lt-LT"/>
        </w:rPr>
      </w:pPr>
      <w:r w:rsidRPr="00744938">
        <w:rPr>
          <w:rFonts w:ascii="Times New Roman" w:hAnsi="Times New Roman" w:cs="Times New Roman"/>
          <w:sz w:val="24"/>
          <w:szCs w:val="24"/>
          <w:lang w:val="lt-LT"/>
        </w:rPr>
        <w:t xml:space="preserve">Mokymosi rezultatų vertinimą, pripažinimą ir sertifikavimą atlieka priimančioji </w:t>
      </w:r>
      <w:r w:rsidR="002C4F91" w:rsidRPr="00744938">
        <w:rPr>
          <w:rFonts w:ascii="Times New Roman" w:hAnsi="Times New Roman" w:cs="Times New Roman"/>
          <w:sz w:val="24"/>
          <w:szCs w:val="24"/>
          <w:lang w:val="lt-LT"/>
        </w:rPr>
        <w:t>institucija</w:t>
      </w:r>
      <w:r w:rsidRPr="00744938">
        <w:rPr>
          <w:rFonts w:ascii="Times New Roman" w:hAnsi="Times New Roman" w:cs="Times New Roman"/>
          <w:sz w:val="24"/>
          <w:szCs w:val="24"/>
          <w:lang w:val="lt-LT"/>
        </w:rPr>
        <w:t>, laikydamasi tų pačių ES vidaus veikloms taikomų kokybės standartų.</w:t>
      </w:r>
    </w:p>
    <w:p w14:paraId="0CE6E865" w14:textId="77777777" w:rsidR="000F0BC4" w:rsidRPr="008F197A" w:rsidRDefault="000F0BC4" w:rsidP="00690D2A">
      <w:pPr>
        <w:pStyle w:val="TableParagraph"/>
        <w:numPr>
          <w:ilvl w:val="0"/>
          <w:numId w:val="1"/>
        </w:numPr>
        <w:tabs>
          <w:tab w:val="left" w:pos="284"/>
        </w:tabs>
        <w:spacing w:after="60" w:line="230" w:lineRule="auto"/>
        <w:ind w:left="284" w:hanging="284"/>
        <w:jc w:val="both"/>
        <w:rPr>
          <w:rFonts w:ascii="Times New Roman" w:hAnsi="Times New Roman" w:cs="Times New Roman"/>
          <w:sz w:val="24"/>
          <w:szCs w:val="24"/>
          <w:lang w:val="lt-LT"/>
        </w:rPr>
      </w:pPr>
      <w:r w:rsidRPr="008F197A">
        <w:rPr>
          <w:rFonts w:ascii="Times New Roman" w:hAnsi="Times New Roman" w:cs="Times New Roman"/>
          <w:sz w:val="24"/>
          <w:szCs w:val="24"/>
          <w:lang w:val="lt-LT"/>
        </w:rPr>
        <w:t>Galiojančiose taisyklėse dėl patvirtinamųjų dokumentų (Programos vadovo III priede) nustatyta, kad reikia tik priimančiosios organizacijos parašo.</w:t>
      </w:r>
    </w:p>
    <w:p w14:paraId="678C7F2B" w14:textId="4596AAD0" w:rsidR="000F0BC4" w:rsidRPr="00744938" w:rsidRDefault="000F0BC4" w:rsidP="00690D2A">
      <w:pPr>
        <w:pStyle w:val="TableParagraph"/>
        <w:numPr>
          <w:ilvl w:val="0"/>
          <w:numId w:val="1"/>
        </w:numPr>
        <w:tabs>
          <w:tab w:val="left" w:pos="284"/>
        </w:tabs>
        <w:spacing w:after="60" w:line="230" w:lineRule="auto"/>
        <w:ind w:left="284" w:hanging="284"/>
        <w:jc w:val="both"/>
        <w:rPr>
          <w:rFonts w:ascii="Times New Roman" w:hAnsi="Times New Roman" w:cs="Times New Roman"/>
          <w:sz w:val="24"/>
          <w:szCs w:val="24"/>
          <w:lang w:val="lt-LT"/>
        </w:rPr>
      </w:pPr>
      <w:r w:rsidRPr="00744938">
        <w:rPr>
          <w:rFonts w:ascii="Times New Roman" w:hAnsi="Times New Roman" w:cs="Times New Roman"/>
          <w:sz w:val="24"/>
          <w:szCs w:val="24"/>
          <w:lang w:val="lt-LT"/>
        </w:rPr>
        <w:t>Kokybės standartų lygmeniu rekomenduojama, kad mokymosi sutartis pasirašytų ir siunčiančioji, ir priimančioji organizacija – tai kokybinis, bet ne formalus reikalavimas, kurio reikėtų atsisakyti atvykstamosioms veikloms. Vietoj to</w:t>
      </w:r>
      <w:r w:rsidR="00BB4146" w:rsidRPr="00744938">
        <w:rPr>
          <w:rFonts w:ascii="Times New Roman" w:hAnsi="Times New Roman" w:cs="Times New Roman"/>
          <w:sz w:val="24"/>
          <w:szCs w:val="24"/>
          <w:lang w:val="lt-LT"/>
        </w:rPr>
        <w:t>,</w:t>
      </w:r>
      <w:r w:rsidRPr="00744938">
        <w:rPr>
          <w:rFonts w:ascii="Times New Roman" w:hAnsi="Times New Roman" w:cs="Times New Roman"/>
          <w:sz w:val="24"/>
          <w:szCs w:val="24"/>
          <w:lang w:val="lt-LT"/>
        </w:rPr>
        <w:t xml:space="preserve"> mokymosi programą turėtų apibrėžti priimančioji organizacija, o dalyvis jai turėtų pritarti.</w:t>
      </w:r>
    </w:p>
    <w:p w14:paraId="1ABC43D9" w14:textId="77777777" w:rsidR="000F0BC4" w:rsidRPr="00744938" w:rsidRDefault="000F0BC4" w:rsidP="002126BD">
      <w:pPr>
        <w:pStyle w:val="BodyText"/>
        <w:spacing w:line="230" w:lineRule="auto"/>
        <w:ind w:right="628" w:firstLine="3"/>
        <w:jc w:val="both"/>
        <w:rPr>
          <w:sz w:val="24"/>
          <w:szCs w:val="24"/>
          <w:lang w:val="lt-LT"/>
        </w:rPr>
      </w:pPr>
    </w:p>
    <w:p w14:paraId="2E264651" w14:textId="412BCB14" w:rsidR="009D06E2" w:rsidRPr="00744938" w:rsidRDefault="00343890" w:rsidP="0084699B">
      <w:pPr>
        <w:pStyle w:val="Heading1"/>
        <w:tabs>
          <w:tab w:val="left" w:pos="1572"/>
        </w:tabs>
        <w:spacing w:before="188"/>
        <w:ind w:left="0" w:firstLine="0"/>
        <w:rPr>
          <w:sz w:val="24"/>
          <w:szCs w:val="24"/>
          <w:lang w:val="lt-LT"/>
        </w:rPr>
      </w:pPr>
      <w:r>
        <w:rPr>
          <w:sz w:val="24"/>
          <w:szCs w:val="24"/>
          <w:lang w:val="lt-LT"/>
        </w:rPr>
        <w:t>Kalbinis parengimas internetu</w:t>
      </w:r>
      <w:r w:rsidR="009D06E2" w:rsidRPr="00744938">
        <w:rPr>
          <w:spacing w:val="-2"/>
          <w:w w:val="95"/>
          <w:sz w:val="24"/>
          <w:szCs w:val="24"/>
          <w:lang w:val="lt-LT"/>
        </w:rPr>
        <w:t xml:space="preserve"> (</w:t>
      </w:r>
      <w:r w:rsidR="001406EA">
        <w:rPr>
          <w:spacing w:val="-2"/>
          <w:w w:val="95"/>
          <w:sz w:val="24"/>
          <w:szCs w:val="24"/>
          <w:lang w:val="lt-LT"/>
        </w:rPr>
        <w:t>„</w:t>
      </w:r>
      <w:r w:rsidR="009D06E2" w:rsidRPr="005F35C4">
        <w:rPr>
          <w:sz w:val="24"/>
          <w:szCs w:val="24"/>
          <w:lang w:val="lt-LT"/>
        </w:rPr>
        <w:t>OLS</w:t>
      </w:r>
      <w:r w:rsidR="001406EA">
        <w:rPr>
          <w:sz w:val="24"/>
          <w:szCs w:val="24"/>
          <w:lang w:val="lt-LT"/>
        </w:rPr>
        <w:t>“</w:t>
      </w:r>
      <w:r w:rsidR="009D06E2" w:rsidRPr="005F35C4">
        <w:rPr>
          <w:sz w:val="24"/>
          <w:szCs w:val="24"/>
          <w:lang w:val="lt-LT"/>
        </w:rPr>
        <w:t>) besimokantiesiems ir darbuotojams iš Ukrainos</w:t>
      </w:r>
    </w:p>
    <w:p w14:paraId="0D646859" w14:textId="77777777" w:rsidR="009D06E2" w:rsidRPr="008F197A" w:rsidRDefault="009D06E2" w:rsidP="009D06E2">
      <w:pPr>
        <w:pStyle w:val="BodyText"/>
        <w:spacing w:before="4"/>
        <w:rPr>
          <w:b/>
          <w:sz w:val="24"/>
          <w:szCs w:val="24"/>
          <w:lang w:val="lt-LT"/>
        </w:rPr>
      </w:pPr>
    </w:p>
    <w:p w14:paraId="6003C66B" w14:textId="289D48D6" w:rsidR="009D06E2" w:rsidRPr="008F197A" w:rsidRDefault="009D06E2" w:rsidP="000F0BC4">
      <w:pPr>
        <w:pStyle w:val="BodyText"/>
        <w:spacing w:line="230" w:lineRule="auto"/>
        <w:ind w:right="-1"/>
        <w:jc w:val="both"/>
        <w:rPr>
          <w:sz w:val="24"/>
          <w:szCs w:val="24"/>
          <w:lang w:val="lt-LT"/>
        </w:rPr>
      </w:pPr>
      <w:r w:rsidRPr="008F197A">
        <w:rPr>
          <w:sz w:val="24"/>
          <w:szCs w:val="24"/>
          <w:lang w:val="lt-LT"/>
        </w:rPr>
        <w:t xml:space="preserve">Naujoje </w:t>
      </w:r>
      <w:r w:rsidR="0084699B" w:rsidRPr="008F197A">
        <w:rPr>
          <w:sz w:val="24"/>
          <w:szCs w:val="24"/>
          <w:lang w:val="lt-LT"/>
        </w:rPr>
        <w:t>programos</w:t>
      </w:r>
      <w:r w:rsidR="00386F58" w:rsidRPr="008F197A">
        <w:rPr>
          <w:sz w:val="24"/>
          <w:szCs w:val="24"/>
          <w:lang w:val="lt-LT"/>
        </w:rPr>
        <w:t xml:space="preserve"> </w:t>
      </w:r>
      <w:r w:rsidRPr="008F197A">
        <w:rPr>
          <w:sz w:val="24"/>
          <w:szCs w:val="24"/>
          <w:lang w:val="lt-LT"/>
        </w:rPr>
        <w:t xml:space="preserve">„Erasmus+“ </w:t>
      </w:r>
      <w:r w:rsidR="00343890" w:rsidRPr="005F35C4">
        <w:rPr>
          <w:sz w:val="24"/>
          <w:szCs w:val="24"/>
          <w:lang w:val="lt-LT"/>
        </w:rPr>
        <w:t>kalbini</w:t>
      </w:r>
      <w:r w:rsidR="00343890">
        <w:rPr>
          <w:sz w:val="24"/>
          <w:szCs w:val="24"/>
          <w:lang w:val="lt-LT"/>
        </w:rPr>
        <w:t>o</w:t>
      </w:r>
      <w:r w:rsidR="00343890" w:rsidRPr="005F35C4">
        <w:rPr>
          <w:sz w:val="24"/>
          <w:szCs w:val="24"/>
          <w:lang w:val="lt-LT"/>
        </w:rPr>
        <w:t xml:space="preserve"> parengim</w:t>
      </w:r>
      <w:r w:rsidR="00343890">
        <w:rPr>
          <w:sz w:val="24"/>
          <w:szCs w:val="24"/>
          <w:lang w:val="lt-LT"/>
        </w:rPr>
        <w:t>o</w:t>
      </w:r>
      <w:r w:rsidR="00343890" w:rsidRPr="005F35C4">
        <w:rPr>
          <w:sz w:val="24"/>
          <w:szCs w:val="24"/>
          <w:lang w:val="lt-LT"/>
        </w:rPr>
        <w:t xml:space="preserve"> internetu </w:t>
      </w:r>
      <w:r w:rsidRPr="00744938">
        <w:rPr>
          <w:sz w:val="24"/>
          <w:szCs w:val="24"/>
          <w:lang w:val="lt-LT"/>
        </w:rPr>
        <w:t xml:space="preserve">platformoje </w:t>
      </w:r>
      <w:r w:rsidR="00343890">
        <w:rPr>
          <w:sz w:val="24"/>
          <w:szCs w:val="24"/>
          <w:lang w:val="lt-LT"/>
        </w:rPr>
        <w:t>„</w:t>
      </w:r>
      <w:r w:rsidR="00343890" w:rsidRPr="006E684D">
        <w:rPr>
          <w:sz w:val="24"/>
          <w:szCs w:val="24"/>
          <w:lang w:val="lt-LT"/>
        </w:rPr>
        <w:t>OLS</w:t>
      </w:r>
      <w:r w:rsidR="00343890">
        <w:rPr>
          <w:sz w:val="24"/>
          <w:szCs w:val="24"/>
          <w:lang w:val="lt-LT"/>
        </w:rPr>
        <w:t>“</w:t>
      </w:r>
      <w:r w:rsidR="00343890" w:rsidRPr="00744938">
        <w:rPr>
          <w:sz w:val="24"/>
          <w:szCs w:val="24"/>
          <w:lang w:val="lt-LT"/>
        </w:rPr>
        <w:t xml:space="preserve"> </w:t>
      </w:r>
      <w:r w:rsidRPr="00744938">
        <w:rPr>
          <w:sz w:val="24"/>
          <w:szCs w:val="24"/>
          <w:lang w:val="lt-LT"/>
        </w:rPr>
        <w:t xml:space="preserve">nuo 2022 m. liepos mėn. atsiras atviros prieigos dalis, kurioje bus galima nemokamai trumpai susipažinti su įvairiomis </w:t>
      </w:r>
      <w:r w:rsidRPr="00744938">
        <w:rPr>
          <w:sz w:val="24"/>
          <w:szCs w:val="24"/>
          <w:lang w:val="lt-LT"/>
        </w:rPr>
        <w:lastRenderedPageBreak/>
        <w:t xml:space="preserve">kalbomis ir kultūromis. Pirmajame etape bus įtrauktos anglų, prancūzų, vokiečių, </w:t>
      </w:r>
      <w:r w:rsidRPr="008F197A">
        <w:rPr>
          <w:sz w:val="24"/>
          <w:szCs w:val="24"/>
          <w:lang w:val="lt-LT"/>
        </w:rPr>
        <w:t>ispanų ir italų kalbos, o palaipsniui – visos 29 kalbos. Taigi</w:t>
      </w:r>
      <w:r w:rsidR="00690D2A">
        <w:rPr>
          <w:sz w:val="24"/>
          <w:szCs w:val="24"/>
          <w:lang w:val="lt-LT"/>
        </w:rPr>
        <w:t>,</w:t>
      </w:r>
      <w:r w:rsidRPr="008F197A">
        <w:rPr>
          <w:sz w:val="24"/>
          <w:szCs w:val="24"/>
          <w:lang w:val="lt-LT"/>
        </w:rPr>
        <w:t xml:space="preserve"> dalyviai iš Ukrainos galės naudotis šia atviros prieigos </w:t>
      </w:r>
      <w:r w:rsidR="00C22A8A" w:rsidRPr="008F197A">
        <w:rPr>
          <w:sz w:val="24"/>
          <w:szCs w:val="24"/>
          <w:lang w:val="lt-LT"/>
        </w:rPr>
        <w:t xml:space="preserve">platformos </w:t>
      </w:r>
      <w:r w:rsidRPr="008F197A">
        <w:rPr>
          <w:sz w:val="24"/>
          <w:szCs w:val="24"/>
          <w:lang w:val="lt-LT"/>
        </w:rPr>
        <w:t>dalimi pirmiau nurodytomis kalbomis.</w:t>
      </w:r>
    </w:p>
    <w:p w14:paraId="0BDFD788" w14:textId="77777777" w:rsidR="009D06E2" w:rsidRPr="008F197A" w:rsidRDefault="009D06E2" w:rsidP="009D06E2">
      <w:pPr>
        <w:pStyle w:val="BodyText"/>
        <w:spacing w:line="230" w:lineRule="auto"/>
        <w:ind w:left="851" w:right="623" w:firstLine="2"/>
        <w:jc w:val="both"/>
        <w:rPr>
          <w:sz w:val="24"/>
          <w:szCs w:val="24"/>
          <w:lang w:val="lt-LT"/>
        </w:rPr>
      </w:pPr>
    </w:p>
    <w:p w14:paraId="3C07CB52" w14:textId="2A35544C" w:rsidR="009D06E2" w:rsidRPr="008F197A" w:rsidRDefault="009D06E2" w:rsidP="00690D2A">
      <w:pPr>
        <w:pStyle w:val="BodyText"/>
        <w:spacing w:line="230" w:lineRule="auto"/>
        <w:ind w:right="-1"/>
        <w:jc w:val="both"/>
        <w:rPr>
          <w:sz w:val="24"/>
          <w:szCs w:val="24"/>
          <w:lang w:val="lt-LT"/>
        </w:rPr>
      </w:pPr>
      <w:r w:rsidRPr="008F197A">
        <w:rPr>
          <w:sz w:val="24"/>
          <w:szCs w:val="24"/>
          <w:lang w:val="lt-LT"/>
        </w:rPr>
        <w:t>Be to, iš Ukrainos atvykstantys dalyviai (studentai, besimokantieji, dėstytojai, profesoriai, pedagogai ir (arba) mokytojai), kurie gaus paramą iš programos „Erasmus+“ projektų, galės įgyti kalbos įgūdžių, reikalingų tinkam</w:t>
      </w:r>
      <w:r w:rsidR="00C22A8A" w:rsidRPr="008F197A">
        <w:rPr>
          <w:sz w:val="24"/>
          <w:szCs w:val="24"/>
          <w:lang w:val="lt-LT"/>
        </w:rPr>
        <w:t>a</w:t>
      </w:r>
      <w:r w:rsidRPr="008F197A">
        <w:rPr>
          <w:sz w:val="24"/>
          <w:szCs w:val="24"/>
          <w:lang w:val="lt-LT"/>
        </w:rPr>
        <w:t xml:space="preserve">i veiklai priimančiojoje šalyje, nes jiems bus suteikta visiška prieiga prie naujos </w:t>
      </w:r>
      <w:r w:rsidR="00343890" w:rsidRPr="00343890">
        <w:rPr>
          <w:sz w:val="24"/>
          <w:szCs w:val="24"/>
          <w:lang w:val="lt-LT"/>
        </w:rPr>
        <w:t>kalbinio parengimo internetu</w:t>
      </w:r>
      <w:r w:rsidR="00343890">
        <w:rPr>
          <w:sz w:val="24"/>
          <w:szCs w:val="24"/>
          <w:lang w:val="lt-LT"/>
        </w:rPr>
        <w:t xml:space="preserve"> </w:t>
      </w:r>
      <w:r w:rsidRPr="00744938">
        <w:rPr>
          <w:sz w:val="24"/>
          <w:szCs w:val="24"/>
          <w:lang w:val="lt-LT"/>
        </w:rPr>
        <w:t>platformos</w:t>
      </w:r>
      <w:r w:rsidR="00343890" w:rsidRPr="005F35C4">
        <w:rPr>
          <w:sz w:val="24"/>
          <w:szCs w:val="24"/>
          <w:lang w:val="lt-LT"/>
        </w:rPr>
        <w:t xml:space="preserve"> „OLS“</w:t>
      </w:r>
      <w:r w:rsidRPr="00744938">
        <w:rPr>
          <w:sz w:val="24"/>
          <w:szCs w:val="24"/>
          <w:lang w:val="lt-LT"/>
        </w:rPr>
        <w:t>, t. y. visiška</w:t>
      </w:r>
      <w:r w:rsidR="00C22A8A" w:rsidRPr="00744938">
        <w:rPr>
          <w:sz w:val="24"/>
          <w:szCs w:val="24"/>
          <w:lang w:val="lt-LT"/>
        </w:rPr>
        <w:t>i</w:t>
      </w:r>
      <w:r w:rsidRPr="00744938">
        <w:rPr>
          <w:sz w:val="24"/>
          <w:szCs w:val="24"/>
          <w:lang w:val="lt-LT"/>
        </w:rPr>
        <w:t xml:space="preserve"> nemokama </w:t>
      </w:r>
      <w:r w:rsidRPr="008F197A">
        <w:rPr>
          <w:sz w:val="24"/>
          <w:szCs w:val="24"/>
          <w:lang w:val="lt-LT"/>
        </w:rPr>
        <w:t>prieiga prie internetinių kalbų kursų.</w:t>
      </w:r>
    </w:p>
    <w:sectPr w:rsidR="009D06E2" w:rsidRPr="008F197A" w:rsidSect="00571017">
      <w:footerReference w:type="default" r:id="rId7"/>
      <w:pgSz w:w="11906" w:h="16838"/>
      <w:pgMar w:top="1134" w:right="567" w:bottom="1134" w:left="1701" w:header="567" w:footer="13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0106F" w14:textId="77777777" w:rsidR="00571017" w:rsidRDefault="00571017" w:rsidP="00571017">
      <w:r>
        <w:separator/>
      </w:r>
    </w:p>
  </w:endnote>
  <w:endnote w:type="continuationSeparator" w:id="0">
    <w:p w14:paraId="1B3BF356" w14:textId="77777777" w:rsidR="00571017" w:rsidRDefault="00571017" w:rsidP="00571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243629"/>
      <w:docPartObj>
        <w:docPartGallery w:val="Page Numbers (Bottom of Page)"/>
        <w:docPartUnique/>
      </w:docPartObj>
    </w:sdtPr>
    <w:sdtEndPr/>
    <w:sdtContent>
      <w:p w14:paraId="3048EFB9" w14:textId="0D91B75C" w:rsidR="00571017" w:rsidRDefault="00571017">
        <w:pPr>
          <w:pStyle w:val="Footer"/>
          <w:jc w:val="right"/>
        </w:pPr>
        <w:r>
          <w:fldChar w:fldCharType="begin"/>
        </w:r>
        <w:r>
          <w:instrText>PAGE   \* MERGEFORMAT</w:instrText>
        </w:r>
        <w:r>
          <w:fldChar w:fldCharType="separate"/>
        </w:r>
        <w:r w:rsidR="00844DE5" w:rsidRPr="00844DE5">
          <w:rPr>
            <w:noProof/>
            <w:lang w:val="lt-LT"/>
          </w:rPr>
          <w:t>3</w:t>
        </w:r>
        <w:r>
          <w:fldChar w:fldCharType="end"/>
        </w:r>
      </w:p>
    </w:sdtContent>
  </w:sdt>
  <w:p w14:paraId="7AB6A9D1" w14:textId="77777777" w:rsidR="00571017" w:rsidRDefault="005710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8ABD3" w14:textId="77777777" w:rsidR="00571017" w:rsidRDefault="00571017" w:rsidP="00571017">
      <w:r>
        <w:separator/>
      </w:r>
    </w:p>
  </w:footnote>
  <w:footnote w:type="continuationSeparator" w:id="0">
    <w:p w14:paraId="38699754" w14:textId="77777777" w:rsidR="00571017" w:rsidRDefault="00571017" w:rsidP="005710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768DD"/>
    <w:multiLevelType w:val="hybridMultilevel"/>
    <w:tmpl w:val="CE9E3340"/>
    <w:lvl w:ilvl="0" w:tplc="0E063C08">
      <w:numFmt w:val="bullet"/>
      <w:lvlText w:val="•"/>
      <w:lvlJc w:val="left"/>
      <w:pPr>
        <w:ind w:left="1574" w:hanging="363"/>
      </w:pPr>
      <w:rPr>
        <w:rFonts w:ascii="Times New Roman" w:eastAsia="Times New Roman" w:hAnsi="Times New Roman" w:cs="Times New Roman" w:hint="default"/>
        <w:b w:val="0"/>
        <w:bCs w:val="0"/>
        <w:i w:val="0"/>
        <w:iCs w:val="0"/>
        <w:w w:val="93"/>
        <w:sz w:val="25"/>
        <w:szCs w:val="25"/>
        <w:lang w:val="en-US" w:eastAsia="en-US" w:bidi="ar-SA"/>
      </w:rPr>
    </w:lvl>
    <w:lvl w:ilvl="1" w:tplc="56B268B6">
      <w:numFmt w:val="bullet"/>
      <w:lvlText w:val="•"/>
      <w:lvlJc w:val="left"/>
      <w:pPr>
        <w:ind w:left="2474" w:hanging="363"/>
      </w:pPr>
      <w:rPr>
        <w:rFonts w:hint="default"/>
        <w:lang w:val="en-US" w:eastAsia="en-US" w:bidi="ar-SA"/>
      </w:rPr>
    </w:lvl>
    <w:lvl w:ilvl="2" w:tplc="7DF455F6">
      <w:numFmt w:val="bullet"/>
      <w:lvlText w:val="•"/>
      <w:lvlJc w:val="left"/>
      <w:pPr>
        <w:ind w:left="3368" w:hanging="363"/>
      </w:pPr>
      <w:rPr>
        <w:rFonts w:hint="default"/>
        <w:lang w:val="en-US" w:eastAsia="en-US" w:bidi="ar-SA"/>
      </w:rPr>
    </w:lvl>
    <w:lvl w:ilvl="3" w:tplc="26282CE6">
      <w:numFmt w:val="bullet"/>
      <w:lvlText w:val="•"/>
      <w:lvlJc w:val="left"/>
      <w:pPr>
        <w:ind w:left="4262" w:hanging="363"/>
      </w:pPr>
      <w:rPr>
        <w:rFonts w:hint="default"/>
        <w:lang w:val="en-US" w:eastAsia="en-US" w:bidi="ar-SA"/>
      </w:rPr>
    </w:lvl>
    <w:lvl w:ilvl="4" w:tplc="FCA4C7B4">
      <w:numFmt w:val="bullet"/>
      <w:lvlText w:val="•"/>
      <w:lvlJc w:val="left"/>
      <w:pPr>
        <w:ind w:left="5156" w:hanging="363"/>
      </w:pPr>
      <w:rPr>
        <w:rFonts w:hint="default"/>
        <w:lang w:val="en-US" w:eastAsia="en-US" w:bidi="ar-SA"/>
      </w:rPr>
    </w:lvl>
    <w:lvl w:ilvl="5" w:tplc="C92AD836">
      <w:numFmt w:val="bullet"/>
      <w:lvlText w:val="•"/>
      <w:lvlJc w:val="left"/>
      <w:pPr>
        <w:ind w:left="6050" w:hanging="363"/>
      </w:pPr>
      <w:rPr>
        <w:rFonts w:hint="default"/>
        <w:lang w:val="en-US" w:eastAsia="en-US" w:bidi="ar-SA"/>
      </w:rPr>
    </w:lvl>
    <w:lvl w:ilvl="6" w:tplc="1256B764">
      <w:numFmt w:val="bullet"/>
      <w:lvlText w:val="•"/>
      <w:lvlJc w:val="left"/>
      <w:pPr>
        <w:ind w:left="6944" w:hanging="363"/>
      </w:pPr>
      <w:rPr>
        <w:rFonts w:hint="default"/>
        <w:lang w:val="en-US" w:eastAsia="en-US" w:bidi="ar-SA"/>
      </w:rPr>
    </w:lvl>
    <w:lvl w:ilvl="7" w:tplc="FFFAA474">
      <w:numFmt w:val="bullet"/>
      <w:lvlText w:val="•"/>
      <w:lvlJc w:val="left"/>
      <w:pPr>
        <w:ind w:left="7838" w:hanging="363"/>
      </w:pPr>
      <w:rPr>
        <w:rFonts w:hint="default"/>
        <w:lang w:val="en-US" w:eastAsia="en-US" w:bidi="ar-SA"/>
      </w:rPr>
    </w:lvl>
    <w:lvl w:ilvl="8" w:tplc="6374E3C2">
      <w:numFmt w:val="bullet"/>
      <w:lvlText w:val="•"/>
      <w:lvlJc w:val="left"/>
      <w:pPr>
        <w:ind w:left="8732" w:hanging="363"/>
      </w:pPr>
      <w:rPr>
        <w:rFonts w:hint="default"/>
        <w:lang w:val="en-US" w:eastAsia="en-US" w:bidi="ar-SA"/>
      </w:rPr>
    </w:lvl>
  </w:abstractNum>
  <w:abstractNum w:abstractNumId="1" w15:restartNumberingAfterBreak="0">
    <w:nsid w:val="1D435AAF"/>
    <w:multiLevelType w:val="hybridMultilevel"/>
    <w:tmpl w:val="50EA92EE"/>
    <w:lvl w:ilvl="0" w:tplc="27AEB10E">
      <w:start w:val="1"/>
      <w:numFmt w:val="decimal"/>
      <w:lvlText w:val="%1."/>
      <w:lvlJc w:val="left"/>
      <w:pPr>
        <w:ind w:left="1574" w:hanging="361"/>
      </w:pPr>
      <w:rPr>
        <w:rFonts w:hint="default"/>
        <w:w w:val="97"/>
        <w:lang w:val="en-US" w:eastAsia="en-US" w:bidi="ar-SA"/>
      </w:rPr>
    </w:lvl>
    <w:lvl w:ilvl="1" w:tplc="E1FE842C">
      <w:numFmt w:val="bullet"/>
      <w:lvlText w:val="•"/>
      <w:lvlJc w:val="left"/>
      <w:pPr>
        <w:ind w:left="2474" w:hanging="361"/>
      </w:pPr>
      <w:rPr>
        <w:rFonts w:hint="default"/>
        <w:lang w:val="en-US" w:eastAsia="en-US" w:bidi="ar-SA"/>
      </w:rPr>
    </w:lvl>
    <w:lvl w:ilvl="2" w:tplc="012C4C78">
      <w:numFmt w:val="bullet"/>
      <w:lvlText w:val="•"/>
      <w:lvlJc w:val="left"/>
      <w:pPr>
        <w:ind w:left="3368" w:hanging="361"/>
      </w:pPr>
      <w:rPr>
        <w:rFonts w:hint="default"/>
        <w:lang w:val="en-US" w:eastAsia="en-US" w:bidi="ar-SA"/>
      </w:rPr>
    </w:lvl>
    <w:lvl w:ilvl="3" w:tplc="168C759C">
      <w:numFmt w:val="bullet"/>
      <w:lvlText w:val="•"/>
      <w:lvlJc w:val="left"/>
      <w:pPr>
        <w:ind w:left="4262" w:hanging="361"/>
      </w:pPr>
      <w:rPr>
        <w:rFonts w:hint="default"/>
        <w:lang w:val="en-US" w:eastAsia="en-US" w:bidi="ar-SA"/>
      </w:rPr>
    </w:lvl>
    <w:lvl w:ilvl="4" w:tplc="841A6AAA">
      <w:numFmt w:val="bullet"/>
      <w:lvlText w:val="•"/>
      <w:lvlJc w:val="left"/>
      <w:pPr>
        <w:ind w:left="5156" w:hanging="361"/>
      </w:pPr>
      <w:rPr>
        <w:rFonts w:hint="default"/>
        <w:lang w:val="en-US" w:eastAsia="en-US" w:bidi="ar-SA"/>
      </w:rPr>
    </w:lvl>
    <w:lvl w:ilvl="5" w:tplc="7CA2B106">
      <w:numFmt w:val="bullet"/>
      <w:lvlText w:val="•"/>
      <w:lvlJc w:val="left"/>
      <w:pPr>
        <w:ind w:left="6050" w:hanging="361"/>
      </w:pPr>
      <w:rPr>
        <w:rFonts w:hint="default"/>
        <w:lang w:val="en-US" w:eastAsia="en-US" w:bidi="ar-SA"/>
      </w:rPr>
    </w:lvl>
    <w:lvl w:ilvl="6" w:tplc="C61E1790">
      <w:numFmt w:val="bullet"/>
      <w:lvlText w:val="•"/>
      <w:lvlJc w:val="left"/>
      <w:pPr>
        <w:ind w:left="6944" w:hanging="361"/>
      </w:pPr>
      <w:rPr>
        <w:rFonts w:hint="default"/>
        <w:lang w:val="en-US" w:eastAsia="en-US" w:bidi="ar-SA"/>
      </w:rPr>
    </w:lvl>
    <w:lvl w:ilvl="7" w:tplc="5E0EB76E">
      <w:numFmt w:val="bullet"/>
      <w:lvlText w:val="•"/>
      <w:lvlJc w:val="left"/>
      <w:pPr>
        <w:ind w:left="7838" w:hanging="361"/>
      </w:pPr>
      <w:rPr>
        <w:rFonts w:hint="default"/>
        <w:lang w:val="en-US" w:eastAsia="en-US" w:bidi="ar-SA"/>
      </w:rPr>
    </w:lvl>
    <w:lvl w:ilvl="8" w:tplc="85CA1B50">
      <w:numFmt w:val="bullet"/>
      <w:lvlText w:val="•"/>
      <w:lvlJc w:val="left"/>
      <w:pPr>
        <w:ind w:left="8732" w:hanging="361"/>
      </w:pPr>
      <w:rPr>
        <w:rFonts w:hint="default"/>
        <w:lang w:val="en-US" w:eastAsia="en-US" w:bidi="ar-SA"/>
      </w:rPr>
    </w:lvl>
  </w:abstractNum>
  <w:abstractNum w:abstractNumId="2" w15:restartNumberingAfterBreak="0">
    <w:nsid w:val="48541044"/>
    <w:multiLevelType w:val="hybridMultilevel"/>
    <w:tmpl w:val="50EA92EE"/>
    <w:lvl w:ilvl="0" w:tplc="27AEB10E">
      <w:start w:val="1"/>
      <w:numFmt w:val="decimal"/>
      <w:lvlText w:val="%1."/>
      <w:lvlJc w:val="left"/>
      <w:pPr>
        <w:ind w:left="1574" w:hanging="361"/>
      </w:pPr>
      <w:rPr>
        <w:rFonts w:hint="default"/>
        <w:w w:val="97"/>
        <w:lang w:val="en-US" w:eastAsia="en-US" w:bidi="ar-SA"/>
      </w:rPr>
    </w:lvl>
    <w:lvl w:ilvl="1" w:tplc="E1FE842C">
      <w:numFmt w:val="bullet"/>
      <w:lvlText w:val="•"/>
      <w:lvlJc w:val="left"/>
      <w:pPr>
        <w:ind w:left="2474" w:hanging="361"/>
      </w:pPr>
      <w:rPr>
        <w:rFonts w:hint="default"/>
        <w:lang w:val="en-US" w:eastAsia="en-US" w:bidi="ar-SA"/>
      </w:rPr>
    </w:lvl>
    <w:lvl w:ilvl="2" w:tplc="012C4C78">
      <w:numFmt w:val="bullet"/>
      <w:lvlText w:val="•"/>
      <w:lvlJc w:val="left"/>
      <w:pPr>
        <w:ind w:left="3368" w:hanging="361"/>
      </w:pPr>
      <w:rPr>
        <w:rFonts w:hint="default"/>
        <w:lang w:val="en-US" w:eastAsia="en-US" w:bidi="ar-SA"/>
      </w:rPr>
    </w:lvl>
    <w:lvl w:ilvl="3" w:tplc="168C759C">
      <w:numFmt w:val="bullet"/>
      <w:lvlText w:val="•"/>
      <w:lvlJc w:val="left"/>
      <w:pPr>
        <w:ind w:left="4262" w:hanging="361"/>
      </w:pPr>
      <w:rPr>
        <w:rFonts w:hint="default"/>
        <w:lang w:val="en-US" w:eastAsia="en-US" w:bidi="ar-SA"/>
      </w:rPr>
    </w:lvl>
    <w:lvl w:ilvl="4" w:tplc="841A6AAA">
      <w:numFmt w:val="bullet"/>
      <w:lvlText w:val="•"/>
      <w:lvlJc w:val="left"/>
      <w:pPr>
        <w:ind w:left="5156" w:hanging="361"/>
      </w:pPr>
      <w:rPr>
        <w:rFonts w:hint="default"/>
        <w:lang w:val="en-US" w:eastAsia="en-US" w:bidi="ar-SA"/>
      </w:rPr>
    </w:lvl>
    <w:lvl w:ilvl="5" w:tplc="7CA2B106">
      <w:numFmt w:val="bullet"/>
      <w:lvlText w:val="•"/>
      <w:lvlJc w:val="left"/>
      <w:pPr>
        <w:ind w:left="6050" w:hanging="361"/>
      </w:pPr>
      <w:rPr>
        <w:rFonts w:hint="default"/>
        <w:lang w:val="en-US" w:eastAsia="en-US" w:bidi="ar-SA"/>
      </w:rPr>
    </w:lvl>
    <w:lvl w:ilvl="6" w:tplc="C61E1790">
      <w:numFmt w:val="bullet"/>
      <w:lvlText w:val="•"/>
      <w:lvlJc w:val="left"/>
      <w:pPr>
        <w:ind w:left="6944" w:hanging="361"/>
      </w:pPr>
      <w:rPr>
        <w:rFonts w:hint="default"/>
        <w:lang w:val="en-US" w:eastAsia="en-US" w:bidi="ar-SA"/>
      </w:rPr>
    </w:lvl>
    <w:lvl w:ilvl="7" w:tplc="5E0EB76E">
      <w:numFmt w:val="bullet"/>
      <w:lvlText w:val="•"/>
      <w:lvlJc w:val="left"/>
      <w:pPr>
        <w:ind w:left="7838" w:hanging="361"/>
      </w:pPr>
      <w:rPr>
        <w:rFonts w:hint="default"/>
        <w:lang w:val="en-US" w:eastAsia="en-US" w:bidi="ar-SA"/>
      </w:rPr>
    </w:lvl>
    <w:lvl w:ilvl="8" w:tplc="85CA1B50">
      <w:numFmt w:val="bullet"/>
      <w:lvlText w:val="•"/>
      <w:lvlJc w:val="left"/>
      <w:pPr>
        <w:ind w:left="8732" w:hanging="361"/>
      </w:pPr>
      <w:rPr>
        <w:rFonts w:hint="default"/>
        <w:lang w:val="en-US" w:eastAsia="en-US" w:bidi="ar-SA"/>
      </w:rPr>
    </w:lvl>
  </w:abstractNum>
  <w:abstractNum w:abstractNumId="3" w15:restartNumberingAfterBreak="0">
    <w:nsid w:val="5E7626BC"/>
    <w:multiLevelType w:val="hybridMultilevel"/>
    <w:tmpl w:val="50EA92EE"/>
    <w:lvl w:ilvl="0" w:tplc="27AEB10E">
      <w:start w:val="1"/>
      <w:numFmt w:val="decimal"/>
      <w:lvlText w:val="%1."/>
      <w:lvlJc w:val="left"/>
      <w:pPr>
        <w:ind w:left="1574" w:hanging="361"/>
      </w:pPr>
      <w:rPr>
        <w:rFonts w:hint="default"/>
        <w:w w:val="97"/>
        <w:lang w:val="en-US" w:eastAsia="en-US" w:bidi="ar-SA"/>
      </w:rPr>
    </w:lvl>
    <w:lvl w:ilvl="1" w:tplc="E1FE842C">
      <w:numFmt w:val="bullet"/>
      <w:lvlText w:val="•"/>
      <w:lvlJc w:val="left"/>
      <w:pPr>
        <w:ind w:left="2474" w:hanging="361"/>
      </w:pPr>
      <w:rPr>
        <w:rFonts w:hint="default"/>
        <w:lang w:val="en-US" w:eastAsia="en-US" w:bidi="ar-SA"/>
      </w:rPr>
    </w:lvl>
    <w:lvl w:ilvl="2" w:tplc="012C4C78">
      <w:numFmt w:val="bullet"/>
      <w:lvlText w:val="•"/>
      <w:lvlJc w:val="left"/>
      <w:pPr>
        <w:ind w:left="3368" w:hanging="361"/>
      </w:pPr>
      <w:rPr>
        <w:rFonts w:hint="default"/>
        <w:lang w:val="en-US" w:eastAsia="en-US" w:bidi="ar-SA"/>
      </w:rPr>
    </w:lvl>
    <w:lvl w:ilvl="3" w:tplc="168C759C">
      <w:numFmt w:val="bullet"/>
      <w:lvlText w:val="•"/>
      <w:lvlJc w:val="left"/>
      <w:pPr>
        <w:ind w:left="4262" w:hanging="361"/>
      </w:pPr>
      <w:rPr>
        <w:rFonts w:hint="default"/>
        <w:lang w:val="en-US" w:eastAsia="en-US" w:bidi="ar-SA"/>
      </w:rPr>
    </w:lvl>
    <w:lvl w:ilvl="4" w:tplc="841A6AAA">
      <w:numFmt w:val="bullet"/>
      <w:lvlText w:val="•"/>
      <w:lvlJc w:val="left"/>
      <w:pPr>
        <w:ind w:left="5156" w:hanging="361"/>
      </w:pPr>
      <w:rPr>
        <w:rFonts w:hint="default"/>
        <w:lang w:val="en-US" w:eastAsia="en-US" w:bidi="ar-SA"/>
      </w:rPr>
    </w:lvl>
    <w:lvl w:ilvl="5" w:tplc="7CA2B106">
      <w:numFmt w:val="bullet"/>
      <w:lvlText w:val="•"/>
      <w:lvlJc w:val="left"/>
      <w:pPr>
        <w:ind w:left="6050" w:hanging="361"/>
      </w:pPr>
      <w:rPr>
        <w:rFonts w:hint="default"/>
        <w:lang w:val="en-US" w:eastAsia="en-US" w:bidi="ar-SA"/>
      </w:rPr>
    </w:lvl>
    <w:lvl w:ilvl="6" w:tplc="C61E1790">
      <w:numFmt w:val="bullet"/>
      <w:lvlText w:val="•"/>
      <w:lvlJc w:val="left"/>
      <w:pPr>
        <w:ind w:left="6944" w:hanging="361"/>
      </w:pPr>
      <w:rPr>
        <w:rFonts w:hint="default"/>
        <w:lang w:val="en-US" w:eastAsia="en-US" w:bidi="ar-SA"/>
      </w:rPr>
    </w:lvl>
    <w:lvl w:ilvl="7" w:tplc="5E0EB76E">
      <w:numFmt w:val="bullet"/>
      <w:lvlText w:val="•"/>
      <w:lvlJc w:val="left"/>
      <w:pPr>
        <w:ind w:left="7838" w:hanging="361"/>
      </w:pPr>
      <w:rPr>
        <w:rFonts w:hint="default"/>
        <w:lang w:val="en-US" w:eastAsia="en-US" w:bidi="ar-SA"/>
      </w:rPr>
    </w:lvl>
    <w:lvl w:ilvl="8" w:tplc="85CA1B50">
      <w:numFmt w:val="bullet"/>
      <w:lvlText w:val="•"/>
      <w:lvlJc w:val="left"/>
      <w:pPr>
        <w:ind w:left="8732" w:hanging="361"/>
      </w:pPr>
      <w:rPr>
        <w:rFonts w:hint="default"/>
        <w:lang w:val="en-US" w:eastAsia="en-US" w:bidi="ar-SA"/>
      </w:rPr>
    </w:lvl>
  </w:abstractNum>
  <w:abstractNum w:abstractNumId="4" w15:restartNumberingAfterBreak="0">
    <w:nsid w:val="786E5F97"/>
    <w:multiLevelType w:val="hybridMultilevel"/>
    <w:tmpl w:val="DFEA9156"/>
    <w:lvl w:ilvl="0" w:tplc="216EEBAA">
      <w:numFmt w:val="bullet"/>
      <w:lvlText w:val="•"/>
      <w:lvlJc w:val="left"/>
      <w:pPr>
        <w:ind w:left="848" w:hanging="368"/>
      </w:pPr>
      <w:rPr>
        <w:rFonts w:ascii="Calibri" w:eastAsia="Calibri" w:hAnsi="Calibri" w:cs="Calibri" w:hint="default"/>
        <w:b w:val="0"/>
        <w:bCs w:val="0"/>
        <w:i w:val="0"/>
        <w:iCs w:val="0"/>
        <w:w w:val="93"/>
        <w:sz w:val="23"/>
        <w:szCs w:val="23"/>
        <w:lang w:val="en-US" w:eastAsia="en-US" w:bidi="ar-SA"/>
      </w:rPr>
    </w:lvl>
    <w:lvl w:ilvl="1" w:tplc="9E525646">
      <w:numFmt w:val="bullet"/>
      <w:lvlText w:val="o"/>
      <w:lvlJc w:val="left"/>
      <w:pPr>
        <w:ind w:left="1202" w:hanging="351"/>
      </w:pPr>
      <w:rPr>
        <w:rFonts w:ascii="Calibri" w:eastAsia="Calibri" w:hAnsi="Calibri" w:cs="Calibri" w:hint="default"/>
        <w:b w:val="0"/>
        <w:bCs w:val="0"/>
        <w:i w:val="0"/>
        <w:iCs w:val="0"/>
        <w:w w:val="98"/>
        <w:sz w:val="23"/>
        <w:szCs w:val="23"/>
        <w:lang w:val="en-US" w:eastAsia="en-US" w:bidi="ar-SA"/>
      </w:rPr>
    </w:lvl>
    <w:lvl w:ilvl="2" w:tplc="0EEA975A">
      <w:numFmt w:val="bullet"/>
      <w:lvlText w:val="•"/>
      <w:lvlJc w:val="left"/>
      <w:pPr>
        <w:ind w:left="2418" w:hanging="351"/>
      </w:pPr>
      <w:rPr>
        <w:rFonts w:hint="default"/>
        <w:lang w:val="en-US" w:eastAsia="en-US" w:bidi="ar-SA"/>
      </w:rPr>
    </w:lvl>
    <w:lvl w:ilvl="3" w:tplc="C43488E6">
      <w:numFmt w:val="bullet"/>
      <w:lvlText w:val="•"/>
      <w:lvlJc w:val="left"/>
      <w:pPr>
        <w:ind w:left="3637" w:hanging="351"/>
      </w:pPr>
      <w:rPr>
        <w:rFonts w:hint="default"/>
        <w:lang w:val="en-US" w:eastAsia="en-US" w:bidi="ar-SA"/>
      </w:rPr>
    </w:lvl>
    <w:lvl w:ilvl="4" w:tplc="8A2E6726">
      <w:numFmt w:val="bullet"/>
      <w:lvlText w:val="•"/>
      <w:lvlJc w:val="left"/>
      <w:pPr>
        <w:ind w:left="4856" w:hanging="351"/>
      </w:pPr>
      <w:rPr>
        <w:rFonts w:hint="default"/>
        <w:lang w:val="en-US" w:eastAsia="en-US" w:bidi="ar-SA"/>
      </w:rPr>
    </w:lvl>
    <w:lvl w:ilvl="5" w:tplc="91726E74">
      <w:numFmt w:val="bullet"/>
      <w:lvlText w:val="•"/>
      <w:lvlJc w:val="left"/>
      <w:pPr>
        <w:ind w:left="6074" w:hanging="351"/>
      </w:pPr>
      <w:rPr>
        <w:rFonts w:hint="default"/>
        <w:lang w:val="en-US" w:eastAsia="en-US" w:bidi="ar-SA"/>
      </w:rPr>
    </w:lvl>
    <w:lvl w:ilvl="6" w:tplc="B4000498">
      <w:numFmt w:val="bullet"/>
      <w:lvlText w:val="•"/>
      <w:lvlJc w:val="left"/>
      <w:pPr>
        <w:ind w:left="7293" w:hanging="351"/>
      </w:pPr>
      <w:rPr>
        <w:rFonts w:hint="default"/>
        <w:lang w:val="en-US" w:eastAsia="en-US" w:bidi="ar-SA"/>
      </w:rPr>
    </w:lvl>
    <w:lvl w:ilvl="7" w:tplc="8CB20804">
      <w:numFmt w:val="bullet"/>
      <w:lvlText w:val="•"/>
      <w:lvlJc w:val="left"/>
      <w:pPr>
        <w:ind w:left="8512" w:hanging="351"/>
      </w:pPr>
      <w:rPr>
        <w:rFonts w:hint="default"/>
        <w:lang w:val="en-US" w:eastAsia="en-US" w:bidi="ar-SA"/>
      </w:rPr>
    </w:lvl>
    <w:lvl w:ilvl="8" w:tplc="ED707C2A">
      <w:numFmt w:val="bullet"/>
      <w:lvlText w:val="•"/>
      <w:lvlJc w:val="left"/>
      <w:pPr>
        <w:ind w:left="9730" w:hanging="351"/>
      </w:pPr>
      <w:rPr>
        <w:rFonts w:hint="default"/>
        <w:lang w:val="en-US" w:eastAsia="en-US" w:bidi="ar-SA"/>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C0A"/>
    <w:rsid w:val="000B509E"/>
    <w:rsid w:val="000F0BC4"/>
    <w:rsid w:val="00105CDD"/>
    <w:rsid w:val="00120EBA"/>
    <w:rsid w:val="001406EA"/>
    <w:rsid w:val="002126BD"/>
    <w:rsid w:val="002318D6"/>
    <w:rsid w:val="002C4F91"/>
    <w:rsid w:val="002E7189"/>
    <w:rsid w:val="003315A1"/>
    <w:rsid w:val="003347ED"/>
    <w:rsid w:val="00343890"/>
    <w:rsid w:val="003662B0"/>
    <w:rsid w:val="00386F58"/>
    <w:rsid w:val="003E5206"/>
    <w:rsid w:val="004A0445"/>
    <w:rsid w:val="004C40EC"/>
    <w:rsid w:val="004F2F8B"/>
    <w:rsid w:val="00517C96"/>
    <w:rsid w:val="00520125"/>
    <w:rsid w:val="00571017"/>
    <w:rsid w:val="00575FFC"/>
    <w:rsid w:val="0059514C"/>
    <w:rsid w:val="005E54A3"/>
    <w:rsid w:val="005F35C4"/>
    <w:rsid w:val="00635C0A"/>
    <w:rsid w:val="00690D2A"/>
    <w:rsid w:val="00744938"/>
    <w:rsid w:val="007775AB"/>
    <w:rsid w:val="007C302B"/>
    <w:rsid w:val="00812671"/>
    <w:rsid w:val="00844DE5"/>
    <w:rsid w:val="0084699B"/>
    <w:rsid w:val="008B6F92"/>
    <w:rsid w:val="008F197A"/>
    <w:rsid w:val="009513A4"/>
    <w:rsid w:val="009A1972"/>
    <w:rsid w:val="009C4D0A"/>
    <w:rsid w:val="009D06E2"/>
    <w:rsid w:val="00A16169"/>
    <w:rsid w:val="00A42BFA"/>
    <w:rsid w:val="00A94C02"/>
    <w:rsid w:val="00AE419E"/>
    <w:rsid w:val="00B464FC"/>
    <w:rsid w:val="00BB4146"/>
    <w:rsid w:val="00BD25AF"/>
    <w:rsid w:val="00BF7C97"/>
    <w:rsid w:val="00C22A8A"/>
    <w:rsid w:val="00C32C7A"/>
    <w:rsid w:val="00CD5D03"/>
    <w:rsid w:val="00D70D9E"/>
    <w:rsid w:val="00E20927"/>
    <w:rsid w:val="00E51883"/>
    <w:rsid w:val="00E768F1"/>
    <w:rsid w:val="00E85083"/>
    <w:rsid w:val="00F05056"/>
    <w:rsid w:val="00F1143E"/>
    <w:rsid w:val="00F53ABA"/>
    <w:rsid w:val="00F54AA6"/>
    <w:rsid w:val="00F5791E"/>
    <w:rsid w:val="00FD23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6B1983C"/>
  <w15:chartTrackingRefBased/>
  <w15:docId w15:val="{4795A97D-2269-45C8-B471-3C4FF7070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768F1"/>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link w:val="Heading1Char"/>
    <w:uiPriority w:val="1"/>
    <w:qFormat/>
    <w:rsid w:val="009D06E2"/>
    <w:pPr>
      <w:spacing w:before="190"/>
      <w:ind w:left="1571" w:hanging="359"/>
      <w:outlineLvl w:val="0"/>
    </w:pPr>
    <w:rPr>
      <w:rFonts w:ascii="Times New Roman" w:eastAsia="Times New Roman" w:hAnsi="Times New Roman" w:cs="Times New Roman"/>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E768F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768F1"/>
  </w:style>
  <w:style w:type="paragraph" w:styleId="BodyText">
    <w:name w:val="Body Text"/>
    <w:basedOn w:val="Normal"/>
    <w:link w:val="BodyTextChar"/>
    <w:uiPriority w:val="1"/>
    <w:qFormat/>
    <w:rsid w:val="00E768F1"/>
    <w:rPr>
      <w:rFonts w:ascii="Times New Roman" w:eastAsia="Times New Roman" w:hAnsi="Times New Roman" w:cs="Times New Roman"/>
      <w:sz w:val="25"/>
      <w:szCs w:val="25"/>
    </w:rPr>
  </w:style>
  <w:style w:type="character" w:customStyle="1" w:styleId="BodyTextChar">
    <w:name w:val="Body Text Char"/>
    <w:basedOn w:val="DefaultParagraphFont"/>
    <w:link w:val="BodyText"/>
    <w:uiPriority w:val="1"/>
    <w:rsid w:val="00E768F1"/>
    <w:rPr>
      <w:rFonts w:ascii="Times New Roman" w:eastAsia="Times New Roman" w:hAnsi="Times New Roman" w:cs="Times New Roman"/>
      <w:sz w:val="25"/>
      <w:szCs w:val="25"/>
      <w:lang w:val="en-US"/>
    </w:rPr>
  </w:style>
  <w:style w:type="paragraph" w:styleId="ListParagraph">
    <w:name w:val="List Paragraph"/>
    <w:basedOn w:val="Normal"/>
    <w:uiPriority w:val="1"/>
    <w:qFormat/>
    <w:rsid w:val="00E768F1"/>
    <w:pPr>
      <w:spacing w:before="190"/>
      <w:ind w:left="1571" w:hanging="359"/>
    </w:pPr>
    <w:rPr>
      <w:rFonts w:ascii="Times New Roman" w:eastAsia="Times New Roman" w:hAnsi="Times New Roman" w:cs="Times New Roman"/>
    </w:rPr>
  </w:style>
  <w:style w:type="character" w:customStyle="1" w:styleId="Heading1Char">
    <w:name w:val="Heading 1 Char"/>
    <w:basedOn w:val="DefaultParagraphFont"/>
    <w:link w:val="Heading1"/>
    <w:uiPriority w:val="1"/>
    <w:rsid w:val="009D06E2"/>
    <w:rPr>
      <w:rFonts w:ascii="Times New Roman" w:eastAsia="Times New Roman" w:hAnsi="Times New Roman" w:cs="Times New Roman"/>
      <w:b/>
      <w:bCs/>
      <w:sz w:val="25"/>
      <w:szCs w:val="25"/>
      <w:lang w:val="en-US"/>
    </w:rPr>
  </w:style>
  <w:style w:type="paragraph" w:styleId="Header">
    <w:name w:val="header"/>
    <w:basedOn w:val="Normal"/>
    <w:link w:val="HeaderChar"/>
    <w:uiPriority w:val="99"/>
    <w:unhideWhenUsed/>
    <w:rsid w:val="00571017"/>
    <w:pPr>
      <w:tabs>
        <w:tab w:val="center" w:pos="4819"/>
        <w:tab w:val="right" w:pos="9638"/>
      </w:tabs>
    </w:pPr>
  </w:style>
  <w:style w:type="character" w:customStyle="1" w:styleId="HeaderChar">
    <w:name w:val="Header Char"/>
    <w:basedOn w:val="DefaultParagraphFont"/>
    <w:link w:val="Header"/>
    <w:uiPriority w:val="99"/>
    <w:rsid w:val="00571017"/>
    <w:rPr>
      <w:rFonts w:ascii="Calibri" w:eastAsia="Calibri" w:hAnsi="Calibri" w:cs="Calibri"/>
      <w:lang w:val="en-US"/>
    </w:rPr>
  </w:style>
  <w:style w:type="paragraph" w:styleId="Footer">
    <w:name w:val="footer"/>
    <w:basedOn w:val="Normal"/>
    <w:link w:val="FooterChar"/>
    <w:uiPriority w:val="99"/>
    <w:unhideWhenUsed/>
    <w:rsid w:val="00571017"/>
    <w:pPr>
      <w:tabs>
        <w:tab w:val="center" w:pos="4819"/>
        <w:tab w:val="right" w:pos="9638"/>
      </w:tabs>
    </w:pPr>
  </w:style>
  <w:style w:type="character" w:customStyle="1" w:styleId="FooterChar">
    <w:name w:val="Footer Char"/>
    <w:basedOn w:val="DefaultParagraphFont"/>
    <w:link w:val="Footer"/>
    <w:uiPriority w:val="99"/>
    <w:rsid w:val="00571017"/>
    <w:rPr>
      <w:rFonts w:ascii="Calibri" w:eastAsia="Calibri" w:hAnsi="Calibri" w:cs="Calibri"/>
      <w:lang w:val="en-US"/>
    </w:rPr>
  </w:style>
  <w:style w:type="character" w:styleId="CommentReference">
    <w:name w:val="annotation reference"/>
    <w:basedOn w:val="DefaultParagraphFont"/>
    <w:uiPriority w:val="99"/>
    <w:semiHidden/>
    <w:unhideWhenUsed/>
    <w:rsid w:val="00F5791E"/>
    <w:rPr>
      <w:sz w:val="16"/>
      <w:szCs w:val="16"/>
    </w:rPr>
  </w:style>
  <w:style w:type="paragraph" w:styleId="CommentText">
    <w:name w:val="annotation text"/>
    <w:basedOn w:val="Normal"/>
    <w:link w:val="CommentTextChar"/>
    <w:uiPriority w:val="99"/>
    <w:unhideWhenUsed/>
    <w:rsid w:val="00F5791E"/>
    <w:rPr>
      <w:sz w:val="20"/>
      <w:szCs w:val="20"/>
    </w:rPr>
  </w:style>
  <w:style w:type="character" w:customStyle="1" w:styleId="CommentTextChar">
    <w:name w:val="Comment Text Char"/>
    <w:basedOn w:val="DefaultParagraphFont"/>
    <w:link w:val="CommentText"/>
    <w:uiPriority w:val="99"/>
    <w:rsid w:val="00F5791E"/>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F5791E"/>
    <w:rPr>
      <w:b/>
      <w:bCs/>
    </w:rPr>
  </w:style>
  <w:style w:type="character" w:customStyle="1" w:styleId="CommentSubjectChar">
    <w:name w:val="Comment Subject Char"/>
    <w:basedOn w:val="CommentTextChar"/>
    <w:link w:val="CommentSubject"/>
    <w:uiPriority w:val="99"/>
    <w:semiHidden/>
    <w:rsid w:val="00F5791E"/>
    <w:rPr>
      <w:rFonts w:ascii="Calibri" w:eastAsia="Calibri" w:hAnsi="Calibri" w:cs="Calibri"/>
      <w:b/>
      <w:bCs/>
      <w:sz w:val="20"/>
      <w:szCs w:val="20"/>
      <w:lang w:val="en-US"/>
    </w:rPr>
  </w:style>
  <w:style w:type="paragraph" w:styleId="BalloonText">
    <w:name w:val="Balloon Text"/>
    <w:basedOn w:val="Normal"/>
    <w:link w:val="BalloonTextChar"/>
    <w:uiPriority w:val="99"/>
    <w:semiHidden/>
    <w:unhideWhenUsed/>
    <w:rsid w:val="00F579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91E"/>
    <w:rPr>
      <w:rFonts w:ascii="Segoe UI" w:eastAsia="Calibri" w:hAnsi="Segoe UI" w:cs="Segoe UI"/>
      <w:sz w:val="18"/>
      <w:szCs w:val="18"/>
      <w:lang w:val="en-US"/>
    </w:rPr>
  </w:style>
  <w:style w:type="character" w:styleId="Hyperlink">
    <w:name w:val="Hyperlink"/>
    <w:basedOn w:val="DefaultParagraphFont"/>
    <w:uiPriority w:val="99"/>
    <w:unhideWhenUsed/>
    <w:rsid w:val="005E54A3"/>
    <w:rPr>
      <w:color w:val="0563C1" w:themeColor="hyperlink"/>
      <w:u w:val="single"/>
    </w:rPr>
  </w:style>
  <w:style w:type="character" w:customStyle="1" w:styleId="UnresolvedMention">
    <w:name w:val="Unresolved Mention"/>
    <w:basedOn w:val="DefaultParagraphFont"/>
    <w:uiPriority w:val="99"/>
    <w:semiHidden/>
    <w:unhideWhenUsed/>
    <w:rsid w:val="005E54A3"/>
    <w:rPr>
      <w:color w:val="605E5C"/>
      <w:shd w:val="clear" w:color="auto" w:fill="E1DFDD"/>
    </w:rPr>
  </w:style>
  <w:style w:type="paragraph" w:styleId="FootnoteText">
    <w:name w:val="footnote text"/>
    <w:basedOn w:val="Normal"/>
    <w:link w:val="FootnoteTextChar"/>
    <w:uiPriority w:val="99"/>
    <w:semiHidden/>
    <w:unhideWhenUsed/>
    <w:rsid w:val="00F53ABA"/>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53ABA"/>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4478</Words>
  <Characters>2554</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Vytautas Pačiauskas</dc:creator>
  <cp:keywords/>
  <dc:description/>
  <cp:lastModifiedBy>Vaiva Ružaitė</cp:lastModifiedBy>
  <cp:revision>2</cp:revision>
  <dcterms:created xsi:type="dcterms:W3CDTF">2022-04-26T13:53:00Z</dcterms:created>
  <dcterms:modified xsi:type="dcterms:W3CDTF">2022-04-26T13:53:00Z</dcterms:modified>
</cp:coreProperties>
</file>