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3FEB" w14:textId="3DD4EA4B" w:rsidR="001B76CF" w:rsidRPr="00E25906" w:rsidRDefault="001B76CF" w:rsidP="001B76CF">
      <w:pPr>
        <w:jc w:val="both"/>
        <w:rPr>
          <w:rFonts w:cstheme="minorHAnsi"/>
          <w:b/>
        </w:rPr>
      </w:pPr>
      <w:r w:rsidRPr="00E25906">
        <w:rPr>
          <w:rFonts w:cstheme="minorHAnsi"/>
          <w:b/>
        </w:rPr>
        <w:t>PROGRAMOS „ERASMUS+“  AUKŠTOJO MOKSLO SEKTORIAUS PROJEKTŲ</w:t>
      </w:r>
      <w:r w:rsidR="0006708B" w:rsidRPr="00E25906">
        <w:rPr>
          <w:rFonts w:cstheme="minorHAnsi"/>
          <w:b/>
        </w:rPr>
        <w:t xml:space="preserve"> </w:t>
      </w:r>
      <w:r w:rsidRPr="00E25906">
        <w:rPr>
          <w:rFonts w:cstheme="minorHAnsi"/>
          <w:b/>
        </w:rPr>
        <w:t xml:space="preserve">ĮGYVENDINIMO </w:t>
      </w:r>
      <w:r w:rsidR="0006708B" w:rsidRPr="00E25906">
        <w:rPr>
          <w:rFonts w:cstheme="minorHAnsi"/>
          <w:b/>
        </w:rPr>
        <w:t xml:space="preserve">KARO UKRAINOJE KONTEKSTE </w:t>
      </w:r>
      <w:r w:rsidRPr="00E25906">
        <w:rPr>
          <w:rFonts w:cstheme="minorHAnsi"/>
          <w:b/>
        </w:rPr>
        <w:t>GAIRĖS</w:t>
      </w:r>
    </w:p>
    <w:p w14:paraId="1972533C" w14:textId="29E7BD4F" w:rsidR="0006708B" w:rsidRPr="00E25906" w:rsidRDefault="0006708B" w:rsidP="0006708B">
      <w:pPr>
        <w:pStyle w:val="ListParagraph"/>
        <w:numPr>
          <w:ilvl w:val="0"/>
          <w:numId w:val="41"/>
        </w:numPr>
        <w:rPr>
          <w:rFonts w:cstheme="minorHAnsi"/>
          <w:b/>
          <w:u w:val="single"/>
        </w:rPr>
      </w:pPr>
      <w:r w:rsidRPr="00E25906">
        <w:rPr>
          <w:rFonts w:cstheme="minorHAnsi"/>
          <w:b/>
          <w:u w:val="single"/>
        </w:rPr>
        <w:t xml:space="preserve">PROGRAMOS „ERASMUS+“  AUKŠTOJO MOKSLO SEKTORIAUS PROJEKTŲ KA131, KA107, KA220 VEIKLŲ ĮGYVENDINIMAS SU UKRAINA </w:t>
      </w:r>
    </w:p>
    <w:p w14:paraId="08735F23" w14:textId="10F7817E" w:rsidR="007726DE" w:rsidRPr="00E25906" w:rsidRDefault="007726DE" w:rsidP="007726DE">
      <w:pPr>
        <w:jc w:val="both"/>
        <w:rPr>
          <w:rFonts w:cstheme="minorHAnsi"/>
        </w:rPr>
      </w:pPr>
      <w:r w:rsidRPr="00E25906">
        <w:rPr>
          <w:rFonts w:cstheme="minorHAnsi"/>
        </w:rPr>
        <w:t xml:space="preserve">Švietimo mainų paramos fondas kartu su kitų šalių Nacionalinėmis agentūromis kviečia </w:t>
      </w:r>
      <w:r w:rsidR="00F41B03" w:rsidRPr="00E25906">
        <w:rPr>
          <w:rFonts w:cstheme="minorHAnsi"/>
        </w:rPr>
        <w:t>dotacijų gavėjus</w:t>
      </w:r>
      <w:r w:rsidRPr="00E25906">
        <w:rPr>
          <w:rFonts w:cstheme="minorHAnsi"/>
        </w:rPr>
        <w:t xml:space="preserve"> pritaikyti įgyvendinamų projektų veiklas ir tokiu būdu prisidėti prie pagalbos ar paramos perkeltiems arba nukentėjusiems nuo karo asmenims.</w:t>
      </w:r>
    </w:p>
    <w:p w14:paraId="4D51728C" w14:textId="77777777" w:rsidR="007726DE" w:rsidRPr="00E25906" w:rsidRDefault="007726DE" w:rsidP="007726DE">
      <w:pPr>
        <w:spacing w:after="120"/>
        <w:jc w:val="both"/>
        <w:rPr>
          <w:rFonts w:cstheme="minorHAnsi"/>
        </w:rPr>
      </w:pPr>
      <w:r w:rsidRPr="00E25906">
        <w:rPr>
          <w:rFonts w:cstheme="minorHAnsi"/>
        </w:rPr>
        <w:t>Siekiant padėti nuo karo Ukrainoje nukentėjusiems asmenims, reikia atkreipti dėmesį į šiuos aktualius aspektus:</w:t>
      </w:r>
    </w:p>
    <w:p w14:paraId="16ACC581" w14:textId="39AD63B5" w:rsidR="007726DE" w:rsidRPr="00E25906" w:rsidRDefault="007726DE" w:rsidP="001A54D6">
      <w:pPr>
        <w:pStyle w:val="ListParagraph"/>
        <w:widowControl w:val="0"/>
        <w:numPr>
          <w:ilvl w:val="0"/>
          <w:numId w:val="16"/>
        </w:numPr>
        <w:autoSpaceDE w:val="0"/>
        <w:autoSpaceDN w:val="0"/>
        <w:spacing w:before="100" w:beforeAutospacing="1" w:after="100" w:afterAutospacing="1" w:line="232" w:lineRule="auto"/>
        <w:ind w:left="714" w:right="-1" w:hanging="357"/>
        <w:contextualSpacing w:val="0"/>
        <w:jc w:val="both"/>
        <w:rPr>
          <w:rFonts w:cstheme="minorHAnsi"/>
        </w:rPr>
      </w:pPr>
      <w:r w:rsidRPr="00E25906">
        <w:rPr>
          <w:rFonts w:cstheme="minorHAnsi"/>
        </w:rPr>
        <w:t>Bet kurių metų kvietimo teikti paraiškas ir bet kurio veiksmo įgyvendinamo projekto komanda kviečiama apsvarstyti galimybę, kaip galėtų prisidėti prie paramos nukentėjusiems nuo karo Ukrainoje asmenims.</w:t>
      </w:r>
    </w:p>
    <w:p w14:paraId="00491F72" w14:textId="1C8044D7" w:rsidR="007726DE" w:rsidRPr="00E25906" w:rsidRDefault="007726DE" w:rsidP="001A54D6">
      <w:pPr>
        <w:pStyle w:val="ListParagraph"/>
        <w:numPr>
          <w:ilvl w:val="0"/>
          <w:numId w:val="16"/>
        </w:numPr>
        <w:spacing w:before="100" w:beforeAutospacing="1" w:after="100" w:afterAutospacing="1" w:line="240" w:lineRule="auto"/>
        <w:ind w:left="714" w:hanging="357"/>
        <w:jc w:val="both"/>
        <w:rPr>
          <w:rFonts w:cstheme="minorHAnsi"/>
          <w:color w:val="00B050"/>
        </w:rPr>
      </w:pPr>
      <w:r w:rsidRPr="00E25906">
        <w:rPr>
          <w:rFonts w:cstheme="minorHAnsi"/>
          <w:color w:val="000000" w:themeColor="text1"/>
        </w:rPr>
        <w:t xml:space="preserve">Vykstančių projektų pakeitimai turi būti atliekami savanoriško dotacijų gavėjų prašymo pagrindu. </w:t>
      </w:r>
    </w:p>
    <w:p w14:paraId="1048158F" w14:textId="467098C6" w:rsidR="007726DE" w:rsidRPr="00E25906" w:rsidRDefault="007726DE" w:rsidP="001A54D6">
      <w:pPr>
        <w:pStyle w:val="ListParagraph"/>
        <w:numPr>
          <w:ilvl w:val="0"/>
          <w:numId w:val="16"/>
        </w:numPr>
        <w:spacing w:before="100" w:beforeAutospacing="1" w:after="100" w:afterAutospacing="1" w:line="240" w:lineRule="auto"/>
        <w:ind w:left="714" w:hanging="357"/>
        <w:jc w:val="both"/>
        <w:rPr>
          <w:rFonts w:cstheme="minorHAnsi"/>
          <w:color w:val="FF0000"/>
        </w:rPr>
      </w:pPr>
      <w:r w:rsidRPr="00E25906">
        <w:rPr>
          <w:rFonts w:cstheme="minorHAnsi"/>
          <w:color w:val="000000" w:themeColor="text1"/>
        </w:rPr>
        <w:t xml:space="preserve">Veiklų pritaikymas arba perorientavimas reiškia, kad dar nepradėtas ir dar neįgyvendintas veiklas galima pakeisti taip, kad jos būtų orientuotos į nuo karo Ukrainoje nukentėjusių asmenų kaip pagrindinės tikslinės grupės paramą. Bet koks pakeitimas turi atitikti tinkamas veiklas pagal „Erasmus+“ ir Europos solidarumo korpuso taisykles. Kiekvienu konkrečiu atveju prašymas dėl </w:t>
      </w:r>
      <w:r w:rsidR="006213D9" w:rsidRPr="00E25906">
        <w:rPr>
          <w:rFonts w:cstheme="minorHAnsi"/>
          <w:color w:val="000000" w:themeColor="text1"/>
        </w:rPr>
        <w:t xml:space="preserve">KA131, KA107 ir KA220 </w:t>
      </w:r>
      <w:r w:rsidRPr="00E25906">
        <w:rPr>
          <w:rFonts w:cstheme="minorHAnsi"/>
          <w:color w:val="000000" w:themeColor="text1"/>
        </w:rPr>
        <w:t>projekt</w:t>
      </w:r>
      <w:r w:rsidR="006213D9" w:rsidRPr="00E25906">
        <w:rPr>
          <w:rFonts w:cstheme="minorHAnsi"/>
          <w:color w:val="000000" w:themeColor="text1"/>
        </w:rPr>
        <w:t>ų</w:t>
      </w:r>
      <w:r w:rsidRPr="00E25906">
        <w:rPr>
          <w:rFonts w:cstheme="minorHAnsi"/>
          <w:color w:val="000000" w:themeColor="text1"/>
        </w:rPr>
        <w:t xml:space="preserve"> veiklų keitimo</w:t>
      </w:r>
      <w:r w:rsidR="00B2694C" w:rsidRPr="00E25906">
        <w:rPr>
          <w:rFonts w:cstheme="minorHAnsi"/>
          <w:color w:val="000000" w:themeColor="text1"/>
        </w:rPr>
        <w:t xml:space="preserve"> turi būti teikiamas Švietimo mainų paramos fondui ir</w:t>
      </w:r>
      <w:r w:rsidRPr="00E25906">
        <w:rPr>
          <w:rFonts w:cstheme="minorHAnsi"/>
          <w:color w:val="000000" w:themeColor="text1"/>
        </w:rPr>
        <w:t xml:space="preserve"> bus vertinimas atskirai. </w:t>
      </w:r>
    </w:p>
    <w:p w14:paraId="386FCAD2" w14:textId="39387E66" w:rsidR="007726DE" w:rsidRPr="00E25906" w:rsidRDefault="007726DE" w:rsidP="007726DE">
      <w:pPr>
        <w:pStyle w:val="ListParagraph"/>
        <w:numPr>
          <w:ilvl w:val="0"/>
          <w:numId w:val="16"/>
        </w:numPr>
        <w:spacing w:after="0" w:line="240" w:lineRule="auto"/>
        <w:jc w:val="both"/>
        <w:rPr>
          <w:rFonts w:cstheme="minorHAnsi"/>
          <w:color w:val="000000" w:themeColor="text1"/>
        </w:rPr>
      </w:pPr>
      <w:r w:rsidRPr="00E25906">
        <w:rPr>
          <w:rFonts w:cstheme="minorHAnsi"/>
          <w:color w:val="000000" w:themeColor="text1"/>
        </w:rPr>
        <w:t>Inicijuoti projekto pokyčiai negali pakeisti projekto iš esmės, nutolti nuo pradinių tikslų. Neleidžiama programos „Erasmus+“ ir Europos solidarumo korpuso lėšų naudojimas kitiems tikslams (pvz., medžiagų ir paslaugų, niekaip nesusijusių su projekto veiklomis, pirkimas). Tokios patirtos išlaidos bus laikomos netinkamomis.</w:t>
      </w:r>
    </w:p>
    <w:p w14:paraId="315D2088" w14:textId="56BFB861" w:rsidR="001B76CF" w:rsidRPr="00E25906" w:rsidRDefault="001B76CF" w:rsidP="007726DE">
      <w:pPr>
        <w:pStyle w:val="ListParagraph"/>
        <w:numPr>
          <w:ilvl w:val="0"/>
          <w:numId w:val="16"/>
        </w:numPr>
        <w:spacing w:after="0" w:line="240" w:lineRule="auto"/>
        <w:jc w:val="both"/>
        <w:rPr>
          <w:rFonts w:cstheme="minorHAnsi"/>
          <w:color w:val="000000" w:themeColor="text1"/>
        </w:rPr>
      </w:pPr>
      <w:r w:rsidRPr="00E25906">
        <w:rPr>
          <w:rFonts w:cstheme="minorHAnsi"/>
          <w:color w:val="000000" w:themeColor="text1"/>
        </w:rPr>
        <w:t>Dotacijos sutarties keitimo poreikis bus nustatomas atsižvelgiant į pokyčio apimtį, į pradinės keičiamos veiklos ir projekto tikslus. Jei veiklas galima koreguoti nekeičiant dotacijos sutarties ir jos priedų, sutarties pakeitimai nereikalingi. Kitu atveju dotacijos sutarties ir/ar jos priedų keitimas atliekamas įforminant pakeitimą pagal sutarties nuostatas.</w:t>
      </w:r>
    </w:p>
    <w:p w14:paraId="1A1933F7" w14:textId="394E9BCD" w:rsidR="00B2694C" w:rsidRPr="00E25906" w:rsidRDefault="001B76CF" w:rsidP="007726DE">
      <w:pPr>
        <w:pStyle w:val="ListParagraph"/>
        <w:numPr>
          <w:ilvl w:val="0"/>
          <w:numId w:val="16"/>
        </w:numPr>
        <w:spacing w:after="0" w:line="240" w:lineRule="auto"/>
        <w:jc w:val="both"/>
        <w:rPr>
          <w:rFonts w:cstheme="minorHAnsi"/>
        </w:rPr>
      </w:pPr>
      <w:r w:rsidRPr="00E25906">
        <w:rPr>
          <w:rFonts w:cstheme="minorHAnsi"/>
        </w:rPr>
        <w:t xml:space="preserve">Didžiausia projekto dotacijos suma išlieka ta pati, net jei veikla perorientuojama ir (arba) pritaikoma siekiant prisidėti prie paramos nukentėjusiems nuo karo asmenims. Projekto įgyvendinimui visa skirta dotacija negali būti didinama. </w:t>
      </w:r>
      <w:r w:rsidR="006213D9" w:rsidRPr="00E25906">
        <w:rPr>
          <w:rFonts w:cstheme="minorHAnsi"/>
        </w:rPr>
        <w:t>KA220 projektų atveju, g</w:t>
      </w:r>
      <w:r w:rsidRPr="00E25906">
        <w:rPr>
          <w:rFonts w:cstheme="minorHAnsi"/>
        </w:rPr>
        <w:t xml:space="preserve">alima didinti tik projekto viduje esančias išlaidų kategorijas – išimtines išlaidas ir skiriamą dalyvių paramą </w:t>
      </w:r>
      <w:proofErr w:type="spellStart"/>
      <w:r w:rsidRPr="00E25906">
        <w:rPr>
          <w:rFonts w:cstheme="minorHAnsi"/>
        </w:rPr>
        <w:t>įtraukčiai</w:t>
      </w:r>
      <w:proofErr w:type="spellEnd"/>
      <w:r w:rsidRPr="00E25906">
        <w:rPr>
          <w:rFonts w:cstheme="minorHAnsi"/>
        </w:rPr>
        <w:t xml:space="preserve"> (kuri turi būti susieta su mobilumu, finansuojamu iš projekto biudžeto).</w:t>
      </w:r>
    </w:p>
    <w:p w14:paraId="10AB09C0" w14:textId="77777777" w:rsidR="007726DE" w:rsidRPr="00E25906" w:rsidRDefault="007726DE" w:rsidP="001A54D6">
      <w:pPr>
        <w:pStyle w:val="ListParagraph"/>
        <w:spacing w:after="0" w:line="240" w:lineRule="auto"/>
        <w:jc w:val="both"/>
        <w:rPr>
          <w:rFonts w:cstheme="minorHAnsi"/>
          <w:color w:val="000000" w:themeColor="text1"/>
        </w:rPr>
      </w:pPr>
    </w:p>
    <w:p w14:paraId="343F466A" w14:textId="0DC7C38E" w:rsidR="007726DE" w:rsidRPr="00E25906" w:rsidRDefault="001B76CF" w:rsidP="004450CC">
      <w:pPr>
        <w:spacing w:after="100" w:afterAutospacing="1" w:line="240" w:lineRule="auto"/>
        <w:jc w:val="both"/>
        <w:rPr>
          <w:rFonts w:cstheme="minorHAnsi"/>
          <w:color w:val="000000" w:themeColor="text1"/>
        </w:rPr>
      </w:pPr>
      <w:r w:rsidRPr="00E25906">
        <w:rPr>
          <w:rFonts w:cstheme="minorHAnsi"/>
          <w:b/>
          <w:color w:val="000000" w:themeColor="text1"/>
        </w:rPr>
        <w:t xml:space="preserve">Specialios </w:t>
      </w:r>
      <w:r w:rsidR="007522AD" w:rsidRPr="00E25906">
        <w:rPr>
          <w:rFonts w:cstheme="minorHAnsi"/>
          <w:b/>
          <w:color w:val="000000" w:themeColor="text1"/>
        </w:rPr>
        <w:t>programos „Erasmus+“  KA131, KA107, KA171 mobilumo projektų su Ukraina įgyvendinimo gairės</w:t>
      </w:r>
    </w:p>
    <w:p w14:paraId="73397970" w14:textId="7A32CCF6" w:rsidR="00826481" w:rsidRPr="00E25906" w:rsidRDefault="00C8660E" w:rsidP="004450CC">
      <w:pPr>
        <w:pStyle w:val="ListParagraph"/>
        <w:numPr>
          <w:ilvl w:val="0"/>
          <w:numId w:val="16"/>
        </w:numPr>
        <w:spacing w:after="100" w:afterAutospacing="1" w:line="240" w:lineRule="auto"/>
        <w:jc w:val="both"/>
        <w:rPr>
          <w:rFonts w:cstheme="minorHAnsi"/>
          <w:color w:val="00B050"/>
        </w:rPr>
      </w:pPr>
      <w:r w:rsidRPr="00E25906">
        <w:rPr>
          <w:rFonts w:cstheme="minorHAnsi"/>
          <w:color w:val="000000" w:themeColor="text1"/>
        </w:rPr>
        <w:t xml:space="preserve">Europos Komisija </w:t>
      </w:r>
      <w:r w:rsidR="00826481" w:rsidRPr="00E25906">
        <w:rPr>
          <w:rFonts w:cstheme="minorHAnsi"/>
          <w:color w:val="000000" w:themeColor="text1"/>
        </w:rPr>
        <w:t>paskelbė apie galimybę išimties tvarka atverti „Erasmus+“ KA</w:t>
      </w:r>
      <w:r w:rsidR="004A120A" w:rsidRPr="00E25906">
        <w:rPr>
          <w:rFonts w:cstheme="minorHAnsi"/>
          <w:color w:val="000000" w:themeColor="text1"/>
        </w:rPr>
        <w:t>1</w:t>
      </w:r>
      <w:r w:rsidR="00826481" w:rsidRPr="00E25906">
        <w:rPr>
          <w:rFonts w:cstheme="minorHAnsi"/>
          <w:color w:val="000000" w:themeColor="text1"/>
        </w:rPr>
        <w:t xml:space="preserve"> mobilumo programas </w:t>
      </w:r>
      <w:r w:rsidR="003670C7" w:rsidRPr="00E25906">
        <w:rPr>
          <w:rFonts w:cstheme="minorHAnsi"/>
          <w:color w:val="000000" w:themeColor="text1"/>
        </w:rPr>
        <w:t xml:space="preserve">fiziškai </w:t>
      </w:r>
      <w:r w:rsidR="00826481" w:rsidRPr="00E25906">
        <w:rPr>
          <w:rFonts w:cstheme="minorHAnsi"/>
          <w:b/>
          <w:color w:val="000000" w:themeColor="text1"/>
        </w:rPr>
        <w:t>atvykstantiems iš Ukrainos dalyviams</w:t>
      </w:r>
      <w:r w:rsidR="00826481" w:rsidRPr="00E25906">
        <w:rPr>
          <w:rFonts w:cstheme="minorHAnsi"/>
          <w:color w:val="000000" w:themeColor="text1"/>
        </w:rPr>
        <w:t xml:space="preserve"> </w:t>
      </w:r>
      <w:r w:rsidR="007B4548" w:rsidRPr="00E25906">
        <w:rPr>
          <w:rFonts w:cstheme="minorHAnsi"/>
          <w:color w:val="000000" w:themeColor="text1"/>
        </w:rPr>
        <w:t>š</w:t>
      </w:r>
      <w:r w:rsidR="00826481" w:rsidRPr="00E25906">
        <w:rPr>
          <w:rFonts w:cstheme="minorHAnsi"/>
          <w:color w:val="000000" w:themeColor="text1"/>
        </w:rPr>
        <w:t>vietimo ir mokymo srityse. Šia galimybe „Erasmus</w:t>
      </w:r>
      <w:r w:rsidR="00746225" w:rsidRPr="00E25906">
        <w:rPr>
          <w:rFonts w:cstheme="minorHAnsi"/>
          <w:color w:val="000000" w:themeColor="text1"/>
        </w:rPr>
        <w:t>+“</w:t>
      </w:r>
      <w:r w:rsidR="00BB40C8" w:rsidRPr="00E25906">
        <w:rPr>
          <w:rFonts w:cstheme="minorHAnsi"/>
          <w:color w:val="000000" w:themeColor="text1"/>
        </w:rPr>
        <w:t xml:space="preserve"> </w:t>
      </w:r>
      <w:r w:rsidR="007B4548" w:rsidRPr="00E25906">
        <w:rPr>
          <w:rFonts w:cstheme="minorHAnsi"/>
          <w:color w:val="000000" w:themeColor="text1"/>
        </w:rPr>
        <w:t>š</w:t>
      </w:r>
      <w:r w:rsidR="00746225" w:rsidRPr="00E25906">
        <w:rPr>
          <w:rFonts w:cstheme="minorHAnsi"/>
          <w:color w:val="000000" w:themeColor="text1"/>
        </w:rPr>
        <w:t>vietimo</w:t>
      </w:r>
      <w:r w:rsidR="00826481" w:rsidRPr="00E25906">
        <w:rPr>
          <w:rFonts w:cstheme="minorHAnsi"/>
          <w:color w:val="000000" w:themeColor="text1"/>
        </w:rPr>
        <w:t xml:space="preserve"> ir mokymo programos </w:t>
      </w:r>
      <w:r w:rsidR="009C31C1" w:rsidRPr="00E25906">
        <w:rPr>
          <w:rFonts w:cstheme="minorHAnsi"/>
          <w:color w:val="000000" w:themeColor="text1"/>
        </w:rPr>
        <w:t xml:space="preserve">dotacijų </w:t>
      </w:r>
      <w:r w:rsidR="00826481" w:rsidRPr="00E25906">
        <w:rPr>
          <w:rFonts w:cstheme="minorHAnsi"/>
          <w:color w:val="000000" w:themeColor="text1"/>
        </w:rPr>
        <w:t xml:space="preserve">gavėjai </w:t>
      </w:r>
      <w:r w:rsidR="00F94A4D" w:rsidRPr="00E25906">
        <w:rPr>
          <w:rFonts w:cstheme="minorHAnsi"/>
          <w:color w:val="000000" w:themeColor="text1"/>
        </w:rPr>
        <w:t>gali</w:t>
      </w:r>
      <w:r w:rsidR="00826481" w:rsidRPr="00E25906">
        <w:rPr>
          <w:rFonts w:cstheme="minorHAnsi"/>
          <w:color w:val="000000" w:themeColor="text1"/>
        </w:rPr>
        <w:t xml:space="preserve"> naudotis savanoriškai.</w:t>
      </w:r>
      <w:r w:rsidR="00B2694C" w:rsidRPr="00E25906">
        <w:rPr>
          <w:rFonts w:cstheme="minorHAnsi"/>
          <w:color w:val="000000" w:themeColor="text1"/>
        </w:rPr>
        <w:t xml:space="preserve"> </w:t>
      </w:r>
    </w:p>
    <w:p w14:paraId="3A1D372D" w14:textId="4F9BA62A" w:rsidR="00826481" w:rsidRPr="00E25906" w:rsidRDefault="00826481" w:rsidP="006E08C1">
      <w:pPr>
        <w:pStyle w:val="ListParagraph"/>
        <w:numPr>
          <w:ilvl w:val="0"/>
          <w:numId w:val="16"/>
        </w:numPr>
        <w:spacing w:after="0" w:line="240" w:lineRule="auto"/>
        <w:jc w:val="both"/>
        <w:rPr>
          <w:rFonts w:cstheme="minorHAnsi"/>
          <w:color w:val="000000" w:themeColor="text1"/>
        </w:rPr>
      </w:pPr>
      <w:r w:rsidRPr="00E25906">
        <w:rPr>
          <w:rFonts w:cstheme="minorHAnsi"/>
          <w:color w:val="000000" w:themeColor="text1"/>
        </w:rPr>
        <w:t xml:space="preserve">Šio pranešimo </w:t>
      </w:r>
      <w:r w:rsidR="003B1433" w:rsidRPr="00E25906">
        <w:rPr>
          <w:rFonts w:cstheme="minorHAnsi"/>
          <w:color w:val="000000" w:themeColor="text1"/>
        </w:rPr>
        <w:t xml:space="preserve">1 </w:t>
      </w:r>
      <w:r w:rsidRPr="00E25906">
        <w:rPr>
          <w:rFonts w:cstheme="minorHAnsi"/>
          <w:color w:val="000000" w:themeColor="text1"/>
        </w:rPr>
        <w:t>priede rasite išsamią lentelę, kurioje</w:t>
      </w:r>
      <w:r w:rsidR="009143E8" w:rsidRPr="00E25906">
        <w:rPr>
          <w:rFonts w:cstheme="minorHAnsi"/>
          <w:color w:val="000000" w:themeColor="text1"/>
        </w:rPr>
        <w:t xml:space="preserve"> yra</w:t>
      </w:r>
      <w:r w:rsidRPr="00E25906">
        <w:rPr>
          <w:rFonts w:cstheme="minorHAnsi"/>
          <w:color w:val="000000" w:themeColor="text1"/>
        </w:rPr>
        <w:t xml:space="preserve"> išdėstytos pagrindinės taikomos įgyvendinimo taisyklės (dalyvių tinkamumo tikrinimas, papildomo lankstumo suteikimas dėl siunčiančiųjų institucijų Ukrainoje, kurios </w:t>
      </w:r>
      <w:r w:rsidR="00CC3DEC" w:rsidRPr="00E25906">
        <w:rPr>
          <w:rFonts w:cstheme="minorHAnsi"/>
          <w:color w:val="000000" w:themeColor="text1"/>
        </w:rPr>
        <w:t xml:space="preserve">negali </w:t>
      </w:r>
      <w:r w:rsidR="004B4C9C" w:rsidRPr="00E25906">
        <w:rPr>
          <w:rFonts w:cstheme="minorHAnsi"/>
          <w:color w:val="000000" w:themeColor="text1"/>
        </w:rPr>
        <w:t>vykdyti</w:t>
      </w:r>
      <w:r w:rsidR="007621F1" w:rsidRPr="00E25906">
        <w:rPr>
          <w:rFonts w:cstheme="minorHAnsi"/>
          <w:color w:val="000000" w:themeColor="text1"/>
        </w:rPr>
        <w:t xml:space="preserve"> veiklos,</w:t>
      </w:r>
      <w:r w:rsidR="004B4C9C" w:rsidRPr="00E25906">
        <w:rPr>
          <w:rFonts w:cstheme="minorHAnsi"/>
          <w:color w:val="000000" w:themeColor="text1"/>
        </w:rPr>
        <w:t xml:space="preserve"> </w:t>
      </w:r>
      <w:r w:rsidRPr="00E25906">
        <w:rPr>
          <w:rFonts w:cstheme="minorHAnsi"/>
          <w:color w:val="000000" w:themeColor="text1"/>
        </w:rPr>
        <w:t>įsipareigojimų, priimančiųjų organizacijų vaidmenų, kai nėra siunčiančiosios organizacijos, aprašymas, taikomi įkainiai ir t.t.).</w:t>
      </w:r>
    </w:p>
    <w:p w14:paraId="21996176" w14:textId="4F6ECC60" w:rsidR="00A51D78" w:rsidRPr="00E25906" w:rsidRDefault="00007505" w:rsidP="006E08C1">
      <w:pPr>
        <w:pStyle w:val="ListParagraph"/>
        <w:numPr>
          <w:ilvl w:val="0"/>
          <w:numId w:val="16"/>
        </w:numPr>
        <w:spacing w:after="0" w:line="240" w:lineRule="auto"/>
        <w:jc w:val="both"/>
        <w:rPr>
          <w:rFonts w:cstheme="minorHAnsi"/>
          <w:color w:val="000000" w:themeColor="text1"/>
        </w:rPr>
      </w:pPr>
      <w:r w:rsidRPr="00E25906">
        <w:rPr>
          <w:rFonts w:cstheme="minorHAnsi"/>
          <w:color w:val="000000" w:themeColor="text1"/>
        </w:rPr>
        <w:lastRenderedPageBreak/>
        <w:t>Siekiant</w:t>
      </w:r>
      <w:r w:rsidR="00A51D78" w:rsidRPr="00E25906">
        <w:rPr>
          <w:rFonts w:cstheme="minorHAnsi"/>
          <w:color w:val="000000" w:themeColor="text1"/>
        </w:rPr>
        <w:t xml:space="preserve"> palengvinti tinkamos paramos teikimą iš Ukrainos atvykstantiems dalyviams, atkreipkite dėmesį, kad visi šiai kategorijai priskiriami dalyviai bus laikomi „mažiau galimybių turinčiais dalyviais“, todėl galės gauti atitinkamą paramą. KA131/KA107</w:t>
      </w:r>
      <w:r w:rsidR="00B93980" w:rsidRPr="00E25906">
        <w:rPr>
          <w:rStyle w:val="FootnoteReference"/>
          <w:rFonts w:cstheme="minorHAnsi"/>
          <w:color w:val="000000" w:themeColor="text1"/>
        </w:rPr>
        <w:footnoteReference w:id="1"/>
      </w:r>
      <w:r w:rsidR="00A51D78" w:rsidRPr="00E25906">
        <w:rPr>
          <w:rFonts w:cstheme="minorHAnsi"/>
          <w:color w:val="000000" w:themeColor="text1"/>
        </w:rPr>
        <w:t xml:space="preserve"> atveju tai reiškia, kad šie dalyviai bus laikomi atitinkančiais reikalavimus gauti papildomą paramą mažiau galimybių turintiems dalyviams pagal atitinkamame kvietime nustatytas taisykles.</w:t>
      </w:r>
      <w:r w:rsidR="002A6A21">
        <w:rPr>
          <w:rFonts w:cstheme="minorHAnsi"/>
          <w:color w:val="000000" w:themeColor="text1"/>
        </w:rPr>
        <w:t xml:space="preserve"> </w:t>
      </w:r>
    </w:p>
    <w:p w14:paraId="17EF559A" w14:textId="18F6D83F" w:rsidR="00ED41C3" w:rsidRPr="00E25906" w:rsidRDefault="00ED41C3" w:rsidP="006E08C1">
      <w:pPr>
        <w:pStyle w:val="ListParagraph"/>
        <w:numPr>
          <w:ilvl w:val="0"/>
          <w:numId w:val="16"/>
        </w:numPr>
        <w:spacing w:after="0" w:line="240" w:lineRule="auto"/>
        <w:jc w:val="both"/>
        <w:rPr>
          <w:rFonts w:cstheme="minorHAnsi"/>
          <w:color w:val="000000" w:themeColor="text1"/>
        </w:rPr>
      </w:pPr>
      <w:r w:rsidRPr="00E25906">
        <w:rPr>
          <w:rFonts w:cstheme="minorHAnsi"/>
          <w:color w:val="000000" w:themeColor="text1"/>
        </w:rPr>
        <w:t xml:space="preserve">Atkreipkite dėmesį, kad 20 proc. suteiktos dotacijos apribojimas veikloms su </w:t>
      </w:r>
      <w:r w:rsidR="006D109A" w:rsidRPr="00E25906">
        <w:rPr>
          <w:rFonts w:cstheme="minorHAnsi"/>
          <w:color w:val="000000" w:themeColor="text1"/>
        </w:rPr>
        <w:t>trečiosiomis valstybėmis</w:t>
      </w:r>
      <w:r w:rsidRPr="00E25906">
        <w:rPr>
          <w:rFonts w:cstheme="minorHAnsi"/>
          <w:color w:val="000000" w:themeColor="text1"/>
        </w:rPr>
        <w:t xml:space="preserve">, </w:t>
      </w:r>
      <w:r w:rsidR="00D959CD" w:rsidRPr="00E25906">
        <w:rPr>
          <w:rFonts w:cstheme="minorHAnsi"/>
          <w:color w:val="000000" w:themeColor="text1"/>
        </w:rPr>
        <w:t>kurios nėra asocijuotosios Programos valstybės</w:t>
      </w:r>
      <w:r w:rsidRPr="00E25906">
        <w:rPr>
          <w:rFonts w:cstheme="minorHAnsi"/>
          <w:color w:val="000000" w:themeColor="text1"/>
        </w:rPr>
        <w:t xml:space="preserve">, taikomas KA131 </w:t>
      </w:r>
      <w:r w:rsidR="00007505" w:rsidRPr="00E25906">
        <w:rPr>
          <w:rFonts w:cstheme="minorHAnsi"/>
          <w:color w:val="000000" w:themeColor="text1"/>
        </w:rPr>
        <w:t>projektuose</w:t>
      </w:r>
      <w:r w:rsidR="005A4B45" w:rsidRPr="00E25906">
        <w:rPr>
          <w:rFonts w:cstheme="minorHAnsi"/>
          <w:color w:val="000000" w:themeColor="text1"/>
        </w:rPr>
        <w:t xml:space="preserve"> </w:t>
      </w:r>
      <w:r w:rsidRPr="00E25906">
        <w:rPr>
          <w:rFonts w:cstheme="minorHAnsi"/>
          <w:color w:val="000000" w:themeColor="text1"/>
        </w:rPr>
        <w:t>tik išvykstamojo mobilumo projektams. Todėl šiems atvykstantiems dalyviams skirtos lėšos nebus įskaičiuojamos į šį 20 proc. apribojimą</w:t>
      </w:r>
      <w:r w:rsidR="006D109A" w:rsidRPr="00E25906">
        <w:rPr>
          <w:rFonts w:cstheme="minorHAnsi"/>
          <w:color w:val="000000" w:themeColor="text1"/>
        </w:rPr>
        <w:t>.</w:t>
      </w:r>
    </w:p>
    <w:p w14:paraId="6C12FDEA" w14:textId="1CE7F570" w:rsidR="006F6CBC" w:rsidRPr="00E25906" w:rsidRDefault="006F6CBC" w:rsidP="001A54D6">
      <w:pPr>
        <w:pStyle w:val="ListParagraph"/>
        <w:spacing w:after="0" w:line="240" w:lineRule="auto"/>
        <w:jc w:val="both"/>
        <w:rPr>
          <w:rFonts w:cstheme="minorHAnsi"/>
        </w:rPr>
      </w:pPr>
    </w:p>
    <w:p w14:paraId="3D61825E" w14:textId="1CB89712" w:rsidR="006F6CBC" w:rsidRPr="00E25906" w:rsidRDefault="006F6CBC" w:rsidP="004450CC">
      <w:pPr>
        <w:spacing w:after="100" w:afterAutospacing="1" w:line="240" w:lineRule="auto"/>
        <w:jc w:val="both"/>
        <w:rPr>
          <w:rFonts w:cstheme="minorHAnsi"/>
          <w:b/>
        </w:rPr>
      </w:pPr>
      <w:r w:rsidRPr="00E25906">
        <w:rPr>
          <w:rFonts w:cstheme="minorHAnsi"/>
          <w:b/>
        </w:rPr>
        <w:t xml:space="preserve">Internetinė kalbinė parama (OLS) </w:t>
      </w:r>
      <w:r w:rsidR="00D8790C" w:rsidRPr="00E25906">
        <w:rPr>
          <w:rFonts w:cstheme="minorHAnsi"/>
          <w:b/>
        </w:rPr>
        <w:t xml:space="preserve">studentams </w:t>
      </w:r>
      <w:r w:rsidRPr="00E25906">
        <w:rPr>
          <w:rFonts w:cstheme="minorHAnsi"/>
          <w:b/>
        </w:rPr>
        <w:t>ir darbuotojams iš Ukrainos</w:t>
      </w:r>
    </w:p>
    <w:p w14:paraId="5875BAD1" w14:textId="7088534B" w:rsidR="006F6CBC" w:rsidRPr="00E25906" w:rsidRDefault="006F6CBC" w:rsidP="004450CC">
      <w:pPr>
        <w:pStyle w:val="ListParagraph"/>
        <w:spacing w:after="100" w:afterAutospacing="1" w:line="240" w:lineRule="auto"/>
        <w:jc w:val="both"/>
        <w:rPr>
          <w:rFonts w:cstheme="minorHAnsi"/>
        </w:rPr>
      </w:pPr>
      <w:r w:rsidRPr="00E25906">
        <w:rPr>
          <w:rFonts w:cstheme="minorHAnsi"/>
        </w:rPr>
        <w:t>Naujoje „Erasmus</w:t>
      </w:r>
      <w:r w:rsidR="009C31C1" w:rsidRPr="00E25906">
        <w:rPr>
          <w:rFonts w:cstheme="minorHAnsi"/>
        </w:rPr>
        <w:t>+ “ ir</w:t>
      </w:r>
      <w:r w:rsidRPr="00E25906">
        <w:rPr>
          <w:rFonts w:cstheme="minorHAnsi"/>
        </w:rPr>
        <w:t xml:space="preserve"> Europos solidarumo korpuso internetinėje kalbų paramos platformoje nuo 2022 m. liepos mėn. atsiras atviros prieigos dalis, kurioje bus galima nemokamai trumpai susipažinti su įvairiomis kalbomis ir kultūromis. Pirmajame etape bus įtrauktos anglų, prancūzų, vokiečių, ispanų ir italų kalbos, o palaipsniui</w:t>
      </w:r>
      <w:r w:rsidR="002661C3" w:rsidRPr="00E25906">
        <w:rPr>
          <w:rFonts w:cstheme="minorHAnsi"/>
        </w:rPr>
        <w:t> </w:t>
      </w:r>
      <w:r w:rsidRPr="00E25906">
        <w:rPr>
          <w:rFonts w:cstheme="minorHAnsi"/>
        </w:rPr>
        <w:t>– visos 29 kalbos. Taigi dalyviai iš Ukrainos galės naudotis šia atviros prieigos dalimi pirmiau nurodytomis kalbomis.</w:t>
      </w:r>
    </w:p>
    <w:p w14:paraId="300D9AB5" w14:textId="591E0733" w:rsidR="006F6CBC" w:rsidRPr="00E25906" w:rsidRDefault="006F6CBC" w:rsidP="005A4B45">
      <w:pPr>
        <w:pStyle w:val="ListParagraph"/>
        <w:spacing w:after="0" w:line="240" w:lineRule="auto"/>
        <w:jc w:val="both"/>
        <w:rPr>
          <w:rFonts w:cstheme="minorHAnsi"/>
        </w:rPr>
      </w:pPr>
      <w:r w:rsidRPr="00E25906">
        <w:rPr>
          <w:rFonts w:cstheme="minorHAnsi"/>
        </w:rPr>
        <w:t>Be to, iš Ukrainos atvykstantys dalyviai (studentai, besimokantieji, dėstytojai, profesoriai, pedagogai ir (arba) mokytojai), kurie gaus paramą iš programos „Erasmus+“ arba Europos solidarumo korpuso projektų, galės įgyti kalbos įgūdžių, reikalingų tinkam</w:t>
      </w:r>
      <w:r w:rsidR="002B332E" w:rsidRPr="00E25906">
        <w:rPr>
          <w:rFonts w:cstheme="minorHAnsi"/>
        </w:rPr>
        <w:t>a</w:t>
      </w:r>
      <w:r w:rsidRPr="00E25906">
        <w:rPr>
          <w:rFonts w:cstheme="minorHAnsi"/>
        </w:rPr>
        <w:t>i veiklai priimančiojoje šalyje, nes jiems bus suteikta visiška prieiga prie naujos internetinės kalbinės paramos platformos, t. y., nemokama prieiga prie internetinių kalbų kursų.</w:t>
      </w:r>
    </w:p>
    <w:p w14:paraId="700723BD" w14:textId="77777777" w:rsidR="001B76CF" w:rsidRPr="00E25906" w:rsidRDefault="001B76CF" w:rsidP="005A4B45">
      <w:pPr>
        <w:pStyle w:val="ListParagraph"/>
        <w:spacing w:after="0" w:line="240" w:lineRule="auto"/>
        <w:jc w:val="both"/>
        <w:rPr>
          <w:rFonts w:cstheme="minorHAnsi"/>
        </w:rPr>
      </w:pPr>
    </w:p>
    <w:p w14:paraId="5BA32218" w14:textId="15B9B42D" w:rsidR="003F450F" w:rsidRPr="00E25906" w:rsidRDefault="00216050" w:rsidP="004714B4">
      <w:pPr>
        <w:spacing w:after="0" w:line="240" w:lineRule="auto"/>
        <w:jc w:val="both"/>
        <w:rPr>
          <w:rFonts w:cstheme="minorHAnsi"/>
          <w:b/>
        </w:rPr>
        <w:sectPr w:rsidR="003F450F" w:rsidRPr="00E25906" w:rsidSect="00F41B03">
          <w:headerReference w:type="default" r:id="rId8"/>
          <w:footerReference w:type="default" r:id="rId9"/>
          <w:pgSz w:w="16840" w:h="11900" w:orient="landscape"/>
          <w:pgMar w:top="1100" w:right="964" w:bottom="280" w:left="1200" w:header="567" w:footer="567" w:gutter="0"/>
          <w:cols w:space="1296"/>
        </w:sectPr>
      </w:pPr>
      <w:r w:rsidRPr="00E25906">
        <w:rPr>
          <w:rFonts w:cstheme="minorHAnsi"/>
        </w:rPr>
        <w:t xml:space="preserve">Visos taisyklės skelbiamos šiame dokumente </w:t>
      </w:r>
      <w:r w:rsidR="003D7226" w:rsidRPr="00E25906">
        <w:rPr>
          <w:rFonts w:cstheme="minorHAnsi"/>
        </w:rPr>
        <w:t>įsi</w:t>
      </w:r>
      <w:r w:rsidRPr="00E25906">
        <w:rPr>
          <w:rFonts w:cstheme="minorHAnsi"/>
        </w:rPr>
        <w:t xml:space="preserve">galioja nuo </w:t>
      </w:r>
      <w:r w:rsidR="00BF2A0C" w:rsidRPr="00E25906">
        <w:rPr>
          <w:rFonts w:cstheme="minorHAnsi"/>
        </w:rPr>
        <w:t xml:space="preserve">2022 m. </w:t>
      </w:r>
      <w:r w:rsidRPr="00E25906">
        <w:rPr>
          <w:rFonts w:cstheme="minorHAnsi"/>
        </w:rPr>
        <w:t xml:space="preserve">vasario 25 dienos. </w:t>
      </w:r>
    </w:p>
    <w:tbl>
      <w:tblPr>
        <w:tblStyle w:val="TableNormal1"/>
        <w:tblW w:w="0" w:type="auto"/>
        <w:tblInd w:w="115"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933"/>
        <w:gridCol w:w="11545"/>
      </w:tblGrid>
      <w:tr w:rsidR="0016617F" w:rsidRPr="00E25906" w14:paraId="0C306438" w14:textId="77777777" w:rsidTr="008A6B7B">
        <w:trPr>
          <w:trHeight w:val="940"/>
        </w:trPr>
        <w:tc>
          <w:tcPr>
            <w:tcW w:w="2933" w:type="dxa"/>
          </w:tcPr>
          <w:p w14:paraId="52CFFE05" w14:textId="77777777" w:rsidR="0016617F" w:rsidRPr="00E25906" w:rsidRDefault="0016617F" w:rsidP="004269F0">
            <w:pPr>
              <w:pStyle w:val="TableParagraph"/>
              <w:spacing w:line="258" w:lineRule="exact"/>
              <w:ind w:left="119"/>
              <w:rPr>
                <w:rFonts w:asciiTheme="minorHAnsi" w:hAnsiTheme="minorHAnsi" w:cstheme="minorHAnsi"/>
                <w:b/>
                <w:lang w:val="lt-LT"/>
              </w:rPr>
            </w:pPr>
            <w:r w:rsidRPr="004450CC">
              <w:rPr>
                <w:rFonts w:asciiTheme="minorHAnsi" w:hAnsiTheme="minorHAnsi" w:cstheme="minorHAnsi"/>
                <w:b/>
                <w:spacing w:val="-2"/>
                <w:lang w:val="lt-LT"/>
              </w:rPr>
              <w:lastRenderedPageBreak/>
              <w:t>Atitinkamas veiksmas</w:t>
            </w:r>
          </w:p>
        </w:tc>
        <w:tc>
          <w:tcPr>
            <w:tcW w:w="11545" w:type="dxa"/>
          </w:tcPr>
          <w:p w14:paraId="1050F0BE" w14:textId="77777777" w:rsidR="0016617F" w:rsidRPr="00E25906" w:rsidRDefault="0016617F" w:rsidP="004269F0">
            <w:pPr>
              <w:pStyle w:val="TableParagraph"/>
              <w:spacing w:line="258" w:lineRule="exact"/>
              <w:ind w:left="129"/>
              <w:rPr>
                <w:rFonts w:asciiTheme="minorHAnsi" w:hAnsiTheme="minorHAnsi" w:cstheme="minorHAnsi"/>
                <w:b/>
                <w:lang w:val="lt-LT"/>
              </w:rPr>
            </w:pPr>
            <w:r w:rsidRPr="004450CC">
              <w:rPr>
                <w:rFonts w:asciiTheme="minorHAnsi" w:hAnsiTheme="minorHAnsi" w:cstheme="minorHAnsi"/>
                <w:b/>
                <w:spacing w:val="-2"/>
                <w:lang w:val="lt-LT"/>
              </w:rPr>
              <w:t>Taikomos gairės:</w:t>
            </w:r>
          </w:p>
        </w:tc>
      </w:tr>
      <w:tr w:rsidR="0016617F" w:rsidRPr="00E25906" w14:paraId="6C974EFC" w14:textId="77777777" w:rsidTr="008A6B7B">
        <w:trPr>
          <w:trHeight w:val="517"/>
        </w:trPr>
        <w:tc>
          <w:tcPr>
            <w:tcW w:w="2933" w:type="dxa"/>
          </w:tcPr>
          <w:p w14:paraId="37817EDA" w14:textId="77777777" w:rsidR="0016617F" w:rsidRPr="00E25906" w:rsidRDefault="0016617F" w:rsidP="004269F0">
            <w:pPr>
              <w:pStyle w:val="TableParagraph"/>
              <w:spacing w:line="253" w:lineRule="exact"/>
              <w:ind w:left="115"/>
              <w:rPr>
                <w:rFonts w:asciiTheme="minorHAnsi" w:hAnsiTheme="minorHAnsi" w:cstheme="minorHAnsi"/>
                <w:b/>
                <w:lang w:val="lt-LT"/>
              </w:rPr>
            </w:pPr>
            <w:r w:rsidRPr="00E25906">
              <w:rPr>
                <w:rFonts w:asciiTheme="minorHAnsi" w:hAnsiTheme="minorHAnsi" w:cstheme="minorHAnsi"/>
                <w:b/>
                <w:spacing w:val="-2"/>
                <w:lang w:val="lt-LT"/>
              </w:rPr>
              <w:t>„Erasmus+“</w:t>
            </w:r>
          </w:p>
        </w:tc>
        <w:tc>
          <w:tcPr>
            <w:tcW w:w="11545" w:type="dxa"/>
          </w:tcPr>
          <w:p w14:paraId="7DEC481C" w14:textId="77777777" w:rsidR="0016617F" w:rsidRPr="00E25906" w:rsidRDefault="0016617F" w:rsidP="004269F0">
            <w:pPr>
              <w:pStyle w:val="TableParagraph"/>
              <w:rPr>
                <w:rFonts w:asciiTheme="minorHAnsi" w:hAnsiTheme="minorHAnsi" w:cstheme="minorHAnsi"/>
                <w:lang w:val="lt-LT"/>
              </w:rPr>
            </w:pPr>
          </w:p>
        </w:tc>
      </w:tr>
      <w:tr w:rsidR="0016617F" w:rsidRPr="00E25906" w14:paraId="20E0C345" w14:textId="77777777" w:rsidTr="008A6B7B">
        <w:trPr>
          <w:trHeight w:val="6782"/>
        </w:trPr>
        <w:tc>
          <w:tcPr>
            <w:tcW w:w="2933" w:type="dxa"/>
          </w:tcPr>
          <w:p w14:paraId="03BDFA49" w14:textId="77777777" w:rsidR="0016617F" w:rsidRPr="004450CC" w:rsidRDefault="0016617F" w:rsidP="004450CC">
            <w:pPr>
              <w:pStyle w:val="TableParagraph"/>
              <w:spacing w:line="245" w:lineRule="exact"/>
              <w:rPr>
                <w:rFonts w:asciiTheme="minorHAnsi" w:hAnsiTheme="minorHAnsi" w:cstheme="minorHAnsi"/>
                <w:b/>
                <w:spacing w:val="-2"/>
                <w:lang w:val="lt-LT"/>
              </w:rPr>
            </w:pPr>
            <w:r w:rsidRPr="004450CC">
              <w:rPr>
                <w:rFonts w:asciiTheme="minorHAnsi" w:hAnsiTheme="minorHAnsi" w:cstheme="minorHAnsi"/>
                <w:b/>
                <w:spacing w:val="-2"/>
                <w:lang w:val="lt-LT"/>
              </w:rPr>
              <w:t xml:space="preserve">KA131 </w:t>
            </w:r>
          </w:p>
          <w:p w14:paraId="2A3762D1" w14:textId="77777777" w:rsidR="0016617F" w:rsidRPr="00E25906" w:rsidRDefault="0016617F" w:rsidP="004450CC">
            <w:pPr>
              <w:pStyle w:val="TableParagraph"/>
              <w:spacing w:line="245" w:lineRule="exact"/>
              <w:rPr>
                <w:rFonts w:asciiTheme="minorHAnsi" w:hAnsiTheme="minorHAnsi" w:cstheme="minorHAnsi"/>
                <w:lang w:val="lt-LT"/>
              </w:rPr>
            </w:pPr>
            <w:r w:rsidRPr="004450CC">
              <w:rPr>
                <w:rFonts w:asciiTheme="minorHAnsi" w:hAnsiTheme="minorHAnsi" w:cstheme="minorHAnsi"/>
                <w:b/>
                <w:spacing w:val="-2"/>
                <w:lang w:val="lt-LT"/>
              </w:rPr>
              <w:t>Aukštojo mokslo studentų ir darbuotojų mobilumas</w:t>
            </w:r>
            <w:bookmarkStart w:id="0" w:name="_GoBack"/>
            <w:bookmarkEnd w:id="0"/>
          </w:p>
        </w:tc>
        <w:tc>
          <w:tcPr>
            <w:tcW w:w="11545" w:type="dxa"/>
          </w:tcPr>
          <w:p w14:paraId="29D6AA6B" w14:textId="77777777" w:rsidR="0016617F" w:rsidRPr="00E25906" w:rsidRDefault="0016617F" w:rsidP="00F81DB0">
            <w:pPr>
              <w:pStyle w:val="TableParagraph"/>
              <w:spacing w:line="258" w:lineRule="exact"/>
              <w:ind w:left="131"/>
              <w:jc w:val="both"/>
              <w:rPr>
                <w:rFonts w:asciiTheme="minorHAnsi" w:hAnsiTheme="minorHAnsi" w:cstheme="minorHAnsi"/>
                <w:lang w:val="lt-LT"/>
              </w:rPr>
            </w:pPr>
            <w:r w:rsidRPr="00E25906">
              <w:rPr>
                <w:rFonts w:asciiTheme="minorHAnsi" w:hAnsiTheme="minorHAnsi" w:cstheme="minorHAnsi"/>
                <w:w w:val="95"/>
                <w:u w:val="single" w:color="080808"/>
                <w:lang w:val="lt-LT"/>
              </w:rPr>
              <w:t xml:space="preserve">Dalyvių iš Ukrainos tinkamumo taisyklės </w:t>
            </w:r>
          </w:p>
          <w:p w14:paraId="2B549115" w14:textId="7ABE0D07" w:rsidR="0016617F" w:rsidRPr="00E25906" w:rsidRDefault="0016617F" w:rsidP="00F81DB0">
            <w:pPr>
              <w:pStyle w:val="TableParagraph"/>
              <w:numPr>
                <w:ilvl w:val="0"/>
                <w:numId w:val="23"/>
              </w:numPr>
              <w:tabs>
                <w:tab w:val="left" w:pos="847"/>
                <w:tab w:val="left" w:pos="848"/>
              </w:tabs>
              <w:spacing w:line="230" w:lineRule="auto"/>
              <w:ind w:right="697"/>
              <w:jc w:val="both"/>
              <w:rPr>
                <w:rFonts w:asciiTheme="minorHAnsi" w:hAnsiTheme="minorHAnsi" w:cstheme="minorHAnsi"/>
                <w:lang w:val="lt-LT"/>
              </w:rPr>
            </w:pPr>
            <w:r w:rsidRPr="00E25906">
              <w:rPr>
                <w:rFonts w:asciiTheme="minorHAnsi" w:hAnsiTheme="minorHAnsi" w:cstheme="minorHAnsi"/>
                <w:lang w:val="lt-LT"/>
              </w:rPr>
              <w:t>Studenta</w:t>
            </w:r>
            <w:r w:rsidR="002B332E" w:rsidRPr="00E25906">
              <w:rPr>
                <w:rFonts w:asciiTheme="minorHAnsi" w:hAnsiTheme="minorHAnsi" w:cstheme="minorHAnsi"/>
                <w:lang w:val="lt-LT"/>
              </w:rPr>
              <w:t>i</w:t>
            </w:r>
            <w:r w:rsidRPr="00E25906">
              <w:rPr>
                <w:rFonts w:asciiTheme="minorHAnsi" w:hAnsiTheme="minorHAnsi" w:cstheme="minorHAnsi"/>
                <w:lang w:val="lt-LT"/>
              </w:rPr>
              <w:t>: įstoj</w:t>
            </w:r>
            <w:r w:rsidR="002B332E" w:rsidRPr="00E25906">
              <w:rPr>
                <w:rFonts w:asciiTheme="minorHAnsi" w:hAnsiTheme="minorHAnsi" w:cstheme="minorHAnsi"/>
                <w:lang w:val="lt-LT"/>
              </w:rPr>
              <w:t>ę</w:t>
            </w:r>
            <w:r w:rsidR="007B4548" w:rsidRPr="00E25906">
              <w:rPr>
                <w:rFonts w:asciiTheme="minorHAnsi" w:hAnsiTheme="minorHAnsi" w:cstheme="minorHAnsi"/>
                <w:lang w:val="lt-LT"/>
              </w:rPr>
              <w:t>/studijavę</w:t>
            </w:r>
            <w:r w:rsidRPr="00E25906">
              <w:rPr>
                <w:rFonts w:asciiTheme="minorHAnsi" w:hAnsiTheme="minorHAnsi" w:cstheme="minorHAnsi"/>
                <w:lang w:val="lt-LT"/>
              </w:rPr>
              <w:t xml:space="preserve"> į aukštojo mokslo institucij</w:t>
            </w:r>
            <w:r w:rsidR="007B4548" w:rsidRPr="00E25906">
              <w:rPr>
                <w:rFonts w:asciiTheme="minorHAnsi" w:hAnsiTheme="minorHAnsi" w:cstheme="minorHAnsi"/>
                <w:lang w:val="lt-LT"/>
              </w:rPr>
              <w:t>oje</w:t>
            </w:r>
            <w:r w:rsidRPr="00E25906">
              <w:rPr>
                <w:rFonts w:asciiTheme="minorHAnsi" w:hAnsiTheme="minorHAnsi" w:cstheme="minorHAnsi"/>
                <w:lang w:val="lt-LT"/>
              </w:rPr>
              <w:t xml:space="preserve"> (</w:t>
            </w:r>
            <w:r w:rsidR="002B332E" w:rsidRPr="00E25906">
              <w:rPr>
                <w:rFonts w:asciiTheme="minorHAnsi" w:hAnsiTheme="minorHAnsi" w:cstheme="minorHAnsi"/>
                <w:lang w:val="lt-LT"/>
              </w:rPr>
              <w:t xml:space="preserve">toliau - </w:t>
            </w:r>
            <w:r w:rsidR="005E2807" w:rsidRPr="00E25906">
              <w:rPr>
                <w:rFonts w:asciiTheme="minorHAnsi" w:hAnsiTheme="minorHAnsi" w:cstheme="minorHAnsi"/>
                <w:lang w:val="lt-LT"/>
              </w:rPr>
              <w:t>MSI</w:t>
            </w:r>
            <w:r w:rsidRPr="00E25906">
              <w:rPr>
                <w:rFonts w:asciiTheme="minorHAnsi" w:hAnsiTheme="minorHAnsi" w:cstheme="minorHAnsi"/>
                <w:lang w:val="lt-LT"/>
              </w:rPr>
              <w:t>) tuo metu, kai bėgo iš Ukrainos dėl Rusijos agresijos.</w:t>
            </w:r>
          </w:p>
          <w:p w14:paraId="664E8DAC" w14:textId="368DAA90" w:rsidR="0016617F" w:rsidRPr="00E25906" w:rsidRDefault="0016617F" w:rsidP="00F81DB0">
            <w:pPr>
              <w:pStyle w:val="TableParagraph"/>
              <w:numPr>
                <w:ilvl w:val="0"/>
                <w:numId w:val="23"/>
              </w:numPr>
              <w:tabs>
                <w:tab w:val="left" w:pos="847"/>
                <w:tab w:val="left" w:pos="848"/>
              </w:tabs>
              <w:spacing w:line="230" w:lineRule="auto"/>
              <w:ind w:right="697"/>
              <w:jc w:val="both"/>
              <w:rPr>
                <w:rFonts w:asciiTheme="minorHAnsi" w:hAnsiTheme="minorHAnsi" w:cstheme="minorHAnsi"/>
                <w:lang w:val="lt-LT"/>
              </w:rPr>
            </w:pPr>
            <w:r w:rsidRPr="00E25906">
              <w:rPr>
                <w:rFonts w:asciiTheme="minorHAnsi" w:hAnsiTheme="minorHAnsi" w:cstheme="minorHAnsi"/>
                <w:lang w:val="lt-LT"/>
              </w:rPr>
              <w:t xml:space="preserve">Neseniai </w:t>
            </w:r>
            <w:r w:rsidR="00080C58" w:rsidRPr="00E25906">
              <w:rPr>
                <w:rFonts w:asciiTheme="minorHAnsi" w:hAnsiTheme="minorHAnsi" w:cstheme="minorHAnsi"/>
                <w:lang w:val="lt-LT"/>
              </w:rPr>
              <w:t>mokslus baig</w:t>
            </w:r>
            <w:r w:rsidR="002B332E" w:rsidRPr="00E25906">
              <w:rPr>
                <w:rFonts w:asciiTheme="minorHAnsi" w:hAnsiTheme="minorHAnsi" w:cstheme="minorHAnsi"/>
                <w:lang w:val="lt-LT"/>
              </w:rPr>
              <w:t>ę</w:t>
            </w:r>
            <w:r w:rsidR="00080C58" w:rsidRPr="00E25906">
              <w:rPr>
                <w:rFonts w:asciiTheme="minorHAnsi" w:hAnsiTheme="minorHAnsi" w:cstheme="minorHAnsi"/>
                <w:lang w:val="lt-LT"/>
              </w:rPr>
              <w:t xml:space="preserve"> absolvent</w:t>
            </w:r>
            <w:r w:rsidR="002B332E" w:rsidRPr="00E25906">
              <w:rPr>
                <w:rFonts w:asciiTheme="minorHAnsi" w:hAnsiTheme="minorHAnsi" w:cstheme="minorHAnsi"/>
                <w:lang w:val="lt-LT"/>
              </w:rPr>
              <w:t>ai</w:t>
            </w:r>
            <w:r w:rsidR="00080C58" w:rsidRPr="00E25906">
              <w:rPr>
                <w:rFonts w:asciiTheme="minorHAnsi" w:hAnsiTheme="minorHAnsi" w:cstheme="minorHAnsi"/>
                <w:lang w:val="lt-LT"/>
              </w:rPr>
              <w:t xml:space="preserve">: </w:t>
            </w:r>
            <w:r w:rsidR="002B332E" w:rsidRPr="00E25906">
              <w:rPr>
                <w:rFonts w:asciiTheme="minorHAnsi" w:hAnsiTheme="minorHAnsi" w:cstheme="minorHAnsi"/>
                <w:lang w:val="lt-LT"/>
              </w:rPr>
              <w:t xml:space="preserve">pabaigę studijas </w:t>
            </w:r>
            <w:r w:rsidR="005E2807" w:rsidRPr="00E25906">
              <w:rPr>
                <w:rFonts w:asciiTheme="minorHAnsi" w:hAnsiTheme="minorHAnsi" w:cstheme="minorHAnsi"/>
                <w:lang w:val="lt-LT"/>
              </w:rPr>
              <w:t>MSI</w:t>
            </w:r>
            <w:r w:rsidRPr="00E25906">
              <w:rPr>
                <w:rFonts w:asciiTheme="minorHAnsi" w:hAnsiTheme="minorHAnsi" w:cstheme="minorHAnsi"/>
                <w:lang w:val="lt-LT"/>
              </w:rPr>
              <w:t xml:space="preserve"> Ukrainoje ne vėliau kaip per 12 mėnesių iki pabėgimo iš Ukrainos dėl Rusijos agresijos.</w:t>
            </w:r>
          </w:p>
          <w:p w14:paraId="6E9DDE6A" w14:textId="547CE71D" w:rsidR="0016617F" w:rsidRPr="00E25906" w:rsidRDefault="0016617F" w:rsidP="00F81DB0">
            <w:pPr>
              <w:pStyle w:val="TableParagraph"/>
              <w:numPr>
                <w:ilvl w:val="0"/>
                <w:numId w:val="23"/>
              </w:numPr>
              <w:tabs>
                <w:tab w:val="left" w:pos="847"/>
                <w:tab w:val="left" w:pos="848"/>
              </w:tabs>
              <w:spacing w:line="230" w:lineRule="auto"/>
              <w:ind w:right="697"/>
              <w:jc w:val="both"/>
              <w:rPr>
                <w:rFonts w:asciiTheme="minorHAnsi" w:hAnsiTheme="minorHAnsi" w:cstheme="minorHAnsi"/>
                <w:lang w:val="lt-LT"/>
              </w:rPr>
            </w:pPr>
            <w:r w:rsidRPr="00E25906">
              <w:rPr>
                <w:rFonts w:asciiTheme="minorHAnsi" w:hAnsiTheme="minorHAnsi" w:cstheme="minorHAnsi"/>
                <w:lang w:val="lt-LT"/>
              </w:rPr>
              <w:t>Darbuotoj</w:t>
            </w:r>
            <w:r w:rsidR="002B332E" w:rsidRPr="00E25906">
              <w:rPr>
                <w:rFonts w:asciiTheme="minorHAnsi" w:hAnsiTheme="minorHAnsi" w:cstheme="minorHAnsi"/>
                <w:lang w:val="lt-LT"/>
              </w:rPr>
              <w:t>ai</w:t>
            </w:r>
            <w:r w:rsidRPr="00E25906">
              <w:rPr>
                <w:rFonts w:asciiTheme="minorHAnsi" w:hAnsiTheme="minorHAnsi" w:cstheme="minorHAnsi"/>
                <w:lang w:val="lt-LT"/>
              </w:rPr>
              <w:t>: dirb</w:t>
            </w:r>
            <w:r w:rsidR="00F81DB0" w:rsidRPr="00E25906">
              <w:rPr>
                <w:rFonts w:asciiTheme="minorHAnsi" w:hAnsiTheme="minorHAnsi" w:cstheme="minorHAnsi"/>
                <w:lang w:val="lt-LT"/>
              </w:rPr>
              <w:t>an</w:t>
            </w:r>
            <w:r w:rsidRPr="00E25906">
              <w:rPr>
                <w:rFonts w:asciiTheme="minorHAnsi" w:hAnsiTheme="minorHAnsi" w:cstheme="minorHAnsi"/>
                <w:lang w:val="lt-LT"/>
              </w:rPr>
              <w:t>t</w:t>
            </w:r>
            <w:r w:rsidR="003509C5" w:rsidRPr="00E25906">
              <w:rPr>
                <w:rFonts w:asciiTheme="minorHAnsi" w:hAnsiTheme="minorHAnsi" w:cstheme="minorHAnsi"/>
                <w:lang w:val="lt-LT"/>
              </w:rPr>
              <w:t>ys</w:t>
            </w:r>
            <w:r w:rsidRPr="00E25906">
              <w:rPr>
                <w:rFonts w:asciiTheme="minorHAnsi" w:hAnsiTheme="minorHAnsi" w:cstheme="minorHAnsi"/>
                <w:lang w:val="lt-LT"/>
              </w:rPr>
              <w:t xml:space="preserve"> Ukrainos </w:t>
            </w:r>
            <w:r w:rsidR="005E2807" w:rsidRPr="00E25906">
              <w:rPr>
                <w:rFonts w:asciiTheme="minorHAnsi" w:hAnsiTheme="minorHAnsi" w:cstheme="minorHAnsi"/>
                <w:lang w:val="lt-LT"/>
              </w:rPr>
              <w:t>MSI</w:t>
            </w:r>
            <w:r w:rsidRPr="00E25906">
              <w:rPr>
                <w:rFonts w:asciiTheme="minorHAnsi" w:hAnsiTheme="minorHAnsi" w:cstheme="minorHAnsi"/>
                <w:lang w:val="lt-LT"/>
              </w:rPr>
              <w:t xml:space="preserve"> tuo metu, kai bėgo iš Ukrainos dėl Rusijos agresijos.</w:t>
            </w:r>
          </w:p>
          <w:p w14:paraId="396A8E08" w14:textId="77777777" w:rsidR="0016617F" w:rsidRPr="00E25906" w:rsidRDefault="0016617F" w:rsidP="00F81DB0">
            <w:pPr>
              <w:pStyle w:val="TableParagraph"/>
              <w:jc w:val="both"/>
              <w:rPr>
                <w:rFonts w:asciiTheme="minorHAnsi" w:hAnsiTheme="minorHAnsi" w:cstheme="minorHAnsi"/>
                <w:b/>
                <w:lang w:val="lt-LT"/>
              </w:rPr>
            </w:pPr>
          </w:p>
          <w:p w14:paraId="47D796C2" w14:textId="77777777" w:rsidR="0016617F" w:rsidRPr="00E25906" w:rsidRDefault="0016617F" w:rsidP="00F81DB0">
            <w:pPr>
              <w:pStyle w:val="TableParagraph"/>
              <w:spacing w:line="280" w:lineRule="exact"/>
              <w:ind w:left="131"/>
              <w:jc w:val="both"/>
              <w:rPr>
                <w:rFonts w:asciiTheme="minorHAnsi" w:hAnsiTheme="minorHAnsi" w:cstheme="minorHAnsi"/>
                <w:lang w:val="lt-LT"/>
              </w:rPr>
            </w:pPr>
            <w:r w:rsidRPr="00E25906">
              <w:rPr>
                <w:rFonts w:asciiTheme="minorHAnsi" w:hAnsiTheme="minorHAnsi" w:cstheme="minorHAnsi"/>
                <w:w w:val="95"/>
                <w:u w:val="single" w:color="0C0C0C"/>
                <w:lang w:val="lt-LT"/>
              </w:rPr>
              <w:t>Tinkamos veiklos</w:t>
            </w:r>
          </w:p>
          <w:p w14:paraId="34BF5FC0" w14:textId="2CC2ED19" w:rsidR="0016617F" w:rsidRPr="00E25906" w:rsidRDefault="0016617F" w:rsidP="00F81DB0">
            <w:pPr>
              <w:pStyle w:val="TableParagraph"/>
              <w:numPr>
                <w:ilvl w:val="0"/>
                <w:numId w:val="23"/>
              </w:numPr>
              <w:tabs>
                <w:tab w:val="left" w:pos="850"/>
                <w:tab w:val="left" w:pos="851"/>
              </w:tabs>
              <w:spacing w:before="10" w:line="228" w:lineRule="auto"/>
              <w:ind w:right="187"/>
              <w:jc w:val="both"/>
              <w:rPr>
                <w:rFonts w:asciiTheme="minorHAnsi" w:hAnsiTheme="minorHAnsi" w:cstheme="minorHAnsi"/>
                <w:lang w:val="lt-LT"/>
              </w:rPr>
            </w:pPr>
            <w:r w:rsidRPr="00E25906">
              <w:rPr>
                <w:rFonts w:asciiTheme="minorHAnsi" w:hAnsiTheme="minorHAnsi" w:cstheme="minorHAnsi"/>
                <w:lang w:val="lt-LT"/>
              </w:rPr>
              <w:t xml:space="preserve">Veiklos turi būti vykdomos </w:t>
            </w:r>
            <w:r w:rsidR="0029631E" w:rsidRPr="00E25906">
              <w:rPr>
                <w:rFonts w:asciiTheme="minorHAnsi" w:hAnsiTheme="minorHAnsi" w:cstheme="minorHAnsi"/>
                <w:lang w:val="lt-LT"/>
              </w:rPr>
              <w:t xml:space="preserve">dotaciją </w:t>
            </w:r>
            <w:r w:rsidRPr="00E25906">
              <w:rPr>
                <w:rFonts w:asciiTheme="minorHAnsi" w:hAnsiTheme="minorHAnsi" w:cstheme="minorHAnsi"/>
                <w:lang w:val="lt-LT"/>
              </w:rPr>
              <w:t xml:space="preserve">gaunančioje </w:t>
            </w:r>
            <w:r w:rsidR="005E2807" w:rsidRPr="00E25906">
              <w:rPr>
                <w:rFonts w:asciiTheme="minorHAnsi" w:hAnsiTheme="minorHAnsi" w:cstheme="minorHAnsi"/>
                <w:lang w:val="lt-LT"/>
              </w:rPr>
              <w:t>MSI</w:t>
            </w:r>
            <w:r w:rsidRPr="00E25906">
              <w:rPr>
                <w:rFonts w:asciiTheme="minorHAnsi" w:hAnsiTheme="minorHAnsi" w:cstheme="minorHAnsi"/>
                <w:lang w:val="lt-LT"/>
              </w:rPr>
              <w:t xml:space="preserve">. Tais atvejais, kai dėl karo veiksmų siunčiančioji organizacija negali dalyvauti veikloje, </w:t>
            </w:r>
            <w:r w:rsidR="0029631E" w:rsidRPr="00E25906">
              <w:rPr>
                <w:rFonts w:asciiTheme="minorHAnsi" w:hAnsiTheme="minorHAnsi" w:cstheme="minorHAnsi"/>
                <w:lang w:val="lt-LT"/>
              </w:rPr>
              <w:t xml:space="preserve">dotaciją </w:t>
            </w:r>
            <w:r w:rsidRPr="00E25906">
              <w:rPr>
                <w:rFonts w:asciiTheme="minorHAnsi" w:hAnsiTheme="minorHAnsi" w:cstheme="minorHAnsi"/>
                <w:lang w:val="lt-LT"/>
              </w:rPr>
              <w:t xml:space="preserve">gaunanti </w:t>
            </w:r>
            <w:r w:rsidR="005E2807" w:rsidRPr="00E25906">
              <w:rPr>
                <w:rFonts w:asciiTheme="minorHAnsi" w:hAnsiTheme="minorHAnsi" w:cstheme="minorHAnsi"/>
                <w:lang w:val="lt-LT"/>
              </w:rPr>
              <w:t>MSI</w:t>
            </w:r>
            <w:r w:rsidRPr="00E25906">
              <w:rPr>
                <w:rFonts w:asciiTheme="minorHAnsi" w:hAnsiTheme="minorHAnsi" w:cstheme="minorHAnsi"/>
                <w:lang w:val="lt-LT"/>
              </w:rPr>
              <w:t xml:space="preserve"> yra vienintelė </w:t>
            </w:r>
            <w:r w:rsidR="005E2807" w:rsidRPr="00E25906">
              <w:rPr>
                <w:rFonts w:asciiTheme="minorHAnsi" w:hAnsiTheme="minorHAnsi" w:cstheme="minorHAnsi"/>
                <w:lang w:val="lt-LT"/>
              </w:rPr>
              <w:t>MSI</w:t>
            </w:r>
            <w:r w:rsidRPr="00E25906">
              <w:rPr>
                <w:rFonts w:asciiTheme="minorHAnsi" w:hAnsiTheme="minorHAnsi" w:cstheme="minorHAnsi"/>
                <w:lang w:val="lt-LT"/>
              </w:rPr>
              <w:t xml:space="preserve">, dalyvaujanti organizuojant mobilumą, išskyrus stažuotes ne </w:t>
            </w:r>
            <w:r w:rsidR="005E2807" w:rsidRPr="00E25906">
              <w:rPr>
                <w:rFonts w:asciiTheme="minorHAnsi" w:hAnsiTheme="minorHAnsi" w:cstheme="minorHAnsi"/>
                <w:lang w:val="lt-LT"/>
              </w:rPr>
              <w:t>MSI</w:t>
            </w:r>
            <w:r w:rsidRPr="00E25906">
              <w:rPr>
                <w:rFonts w:asciiTheme="minorHAnsi" w:hAnsiTheme="minorHAnsi" w:cstheme="minorHAnsi"/>
                <w:lang w:val="lt-LT"/>
              </w:rPr>
              <w:t>.</w:t>
            </w:r>
          </w:p>
          <w:p w14:paraId="2CC92956" w14:textId="5A1196D0" w:rsidR="0016617F" w:rsidRPr="00E25906" w:rsidRDefault="0016617F" w:rsidP="00F81DB0">
            <w:pPr>
              <w:pStyle w:val="TableParagraph"/>
              <w:numPr>
                <w:ilvl w:val="0"/>
                <w:numId w:val="23"/>
              </w:numPr>
              <w:tabs>
                <w:tab w:val="left" w:pos="850"/>
                <w:tab w:val="left" w:pos="851"/>
              </w:tabs>
              <w:spacing w:before="10" w:line="228" w:lineRule="auto"/>
              <w:ind w:right="187"/>
              <w:jc w:val="both"/>
              <w:rPr>
                <w:rFonts w:asciiTheme="minorHAnsi" w:hAnsiTheme="minorHAnsi" w:cstheme="minorHAnsi"/>
                <w:lang w:val="lt-LT"/>
              </w:rPr>
            </w:pPr>
            <w:r w:rsidRPr="00E25906">
              <w:rPr>
                <w:rFonts w:asciiTheme="minorHAnsi" w:hAnsiTheme="minorHAnsi" w:cstheme="minorHAnsi"/>
                <w:lang w:val="lt-LT"/>
              </w:rPr>
              <w:t xml:space="preserve">Studentams: mobilumas studijų tikslais ir mobilumas stažuočių tikslais. Stažuočių atveju neseniai </w:t>
            </w:r>
            <w:r w:rsidR="00C15250" w:rsidRPr="00E25906">
              <w:rPr>
                <w:rFonts w:asciiTheme="minorHAnsi" w:hAnsiTheme="minorHAnsi" w:cstheme="minorHAnsi"/>
                <w:lang w:val="lt-LT"/>
              </w:rPr>
              <w:t xml:space="preserve"> studijas baigę absolventai dalyvaudami veikloje bus įtraukiam</w:t>
            </w:r>
            <w:r w:rsidR="00CF7366" w:rsidRPr="00E25906">
              <w:rPr>
                <w:rFonts w:asciiTheme="minorHAnsi" w:hAnsiTheme="minorHAnsi" w:cstheme="minorHAnsi"/>
                <w:lang w:val="lt-LT"/>
              </w:rPr>
              <w:t>i</w:t>
            </w:r>
            <w:r w:rsidR="00C15250" w:rsidRPr="00E25906">
              <w:rPr>
                <w:rFonts w:asciiTheme="minorHAnsi" w:hAnsiTheme="minorHAnsi" w:cstheme="minorHAnsi"/>
                <w:lang w:val="lt-LT"/>
              </w:rPr>
              <w:t xml:space="preserve"> </w:t>
            </w:r>
            <w:r w:rsidR="00A56003" w:rsidRPr="00E25906">
              <w:rPr>
                <w:rFonts w:asciiTheme="minorHAnsi" w:hAnsiTheme="minorHAnsi" w:cstheme="minorHAnsi"/>
                <w:lang w:val="lt-LT"/>
              </w:rPr>
              <w:t xml:space="preserve">taikant sąvoką „studentai“. </w:t>
            </w:r>
            <w:r w:rsidRPr="00E25906">
              <w:rPr>
                <w:rFonts w:asciiTheme="minorHAnsi" w:hAnsiTheme="minorHAnsi" w:cstheme="minorHAnsi"/>
                <w:lang w:val="lt-LT"/>
              </w:rPr>
              <w:t xml:space="preserve">Šiais atvejais stažuotes turi organizuoti </w:t>
            </w:r>
            <w:r w:rsidR="00911BFB" w:rsidRPr="00E25906">
              <w:rPr>
                <w:rFonts w:asciiTheme="minorHAnsi" w:hAnsiTheme="minorHAnsi" w:cstheme="minorHAnsi"/>
                <w:lang w:val="lt-LT"/>
              </w:rPr>
              <w:t xml:space="preserve">dotaciją </w:t>
            </w:r>
            <w:r w:rsidRPr="00E25906">
              <w:rPr>
                <w:rFonts w:asciiTheme="minorHAnsi" w:hAnsiTheme="minorHAnsi" w:cstheme="minorHAnsi"/>
                <w:lang w:val="lt-LT"/>
              </w:rPr>
              <w:t xml:space="preserve">gaunanti institucija. Stažuotojai priimami </w:t>
            </w:r>
            <w:r w:rsidR="00911BFB" w:rsidRPr="00E25906">
              <w:rPr>
                <w:rFonts w:asciiTheme="minorHAnsi" w:hAnsiTheme="minorHAnsi" w:cstheme="minorHAnsi"/>
                <w:lang w:val="lt-LT"/>
              </w:rPr>
              <w:t xml:space="preserve">dotaciją </w:t>
            </w:r>
            <w:r w:rsidRPr="00E25906">
              <w:rPr>
                <w:rFonts w:asciiTheme="minorHAnsi" w:hAnsiTheme="minorHAnsi" w:cstheme="minorHAnsi"/>
                <w:lang w:val="lt-LT"/>
              </w:rPr>
              <w:t xml:space="preserve">gaunančioje </w:t>
            </w:r>
            <w:r w:rsidR="005E2807" w:rsidRPr="00E25906">
              <w:rPr>
                <w:rFonts w:asciiTheme="minorHAnsi" w:hAnsiTheme="minorHAnsi" w:cstheme="minorHAnsi"/>
                <w:lang w:val="lt-LT"/>
              </w:rPr>
              <w:t>MSI</w:t>
            </w:r>
            <w:r w:rsidRPr="00E25906">
              <w:rPr>
                <w:rFonts w:asciiTheme="minorHAnsi" w:hAnsiTheme="minorHAnsi" w:cstheme="minorHAnsi"/>
                <w:lang w:val="lt-LT"/>
              </w:rPr>
              <w:t xml:space="preserve"> arba ne </w:t>
            </w:r>
            <w:r w:rsidR="005E2807" w:rsidRPr="00E25906">
              <w:rPr>
                <w:rFonts w:asciiTheme="minorHAnsi" w:hAnsiTheme="minorHAnsi" w:cstheme="minorHAnsi"/>
                <w:lang w:val="lt-LT"/>
              </w:rPr>
              <w:t>MSI</w:t>
            </w:r>
            <w:r w:rsidRPr="00E25906">
              <w:rPr>
                <w:rFonts w:asciiTheme="minorHAnsi" w:hAnsiTheme="minorHAnsi" w:cstheme="minorHAnsi"/>
                <w:lang w:val="lt-LT"/>
              </w:rPr>
              <w:t xml:space="preserve"> organizacijoje, esančioje toje pačioje šalyje (taikant KA107 mokymosi sutartį dėl atvykstančių stažuotojų). Pastaruoju atveju stažuotės mobilumą finansuoja </w:t>
            </w:r>
            <w:r w:rsidR="00911BFB" w:rsidRPr="00E25906">
              <w:rPr>
                <w:rFonts w:asciiTheme="minorHAnsi" w:hAnsiTheme="minorHAnsi" w:cstheme="minorHAnsi"/>
                <w:lang w:val="lt-LT"/>
              </w:rPr>
              <w:t xml:space="preserve">dotaciją </w:t>
            </w:r>
            <w:r w:rsidRPr="00E25906">
              <w:rPr>
                <w:rFonts w:asciiTheme="minorHAnsi" w:hAnsiTheme="minorHAnsi" w:cstheme="minorHAnsi"/>
                <w:lang w:val="lt-LT"/>
              </w:rPr>
              <w:t xml:space="preserve">gaunanti </w:t>
            </w:r>
            <w:r w:rsidR="005E2807" w:rsidRPr="00E25906">
              <w:rPr>
                <w:rFonts w:asciiTheme="minorHAnsi" w:hAnsiTheme="minorHAnsi" w:cstheme="minorHAnsi"/>
                <w:lang w:val="lt-LT"/>
              </w:rPr>
              <w:t>MSI</w:t>
            </w:r>
            <w:r w:rsidRPr="00E25906">
              <w:rPr>
                <w:rFonts w:asciiTheme="minorHAnsi" w:hAnsiTheme="minorHAnsi" w:cstheme="minorHAnsi"/>
                <w:lang w:val="lt-LT"/>
              </w:rPr>
              <w:t>.</w:t>
            </w:r>
          </w:p>
          <w:p w14:paraId="3C4380E3" w14:textId="6FCC824A" w:rsidR="0016617F" w:rsidRPr="00E25906" w:rsidRDefault="0016617F" w:rsidP="00F81DB0">
            <w:pPr>
              <w:pStyle w:val="TableParagraph"/>
              <w:numPr>
                <w:ilvl w:val="0"/>
                <w:numId w:val="23"/>
              </w:numPr>
              <w:tabs>
                <w:tab w:val="left" w:pos="850"/>
                <w:tab w:val="left" w:pos="851"/>
              </w:tabs>
              <w:spacing w:before="10" w:line="228" w:lineRule="auto"/>
              <w:ind w:right="187"/>
              <w:jc w:val="both"/>
              <w:rPr>
                <w:rFonts w:asciiTheme="minorHAnsi" w:hAnsiTheme="minorHAnsi" w:cstheme="minorHAnsi"/>
                <w:lang w:val="lt-LT"/>
              </w:rPr>
            </w:pPr>
            <w:r w:rsidRPr="00E25906">
              <w:rPr>
                <w:rFonts w:asciiTheme="minorHAnsi" w:hAnsiTheme="minorHAnsi" w:cstheme="minorHAnsi"/>
                <w:lang w:val="lt-LT"/>
              </w:rPr>
              <w:t xml:space="preserve">Darbuotojams: mobilumas dėstymo tikslais (įskaitant pakviestus darbuotojus iš ne </w:t>
            </w:r>
            <w:r w:rsidR="005D40CE" w:rsidRPr="00E25906">
              <w:rPr>
                <w:rFonts w:asciiTheme="minorHAnsi" w:hAnsiTheme="minorHAnsi" w:cstheme="minorHAnsi"/>
                <w:lang w:val="lt-LT"/>
              </w:rPr>
              <w:t>MSI</w:t>
            </w:r>
            <w:r w:rsidRPr="00E25906">
              <w:rPr>
                <w:rFonts w:asciiTheme="minorHAnsi" w:hAnsiTheme="minorHAnsi" w:cstheme="minorHAnsi"/>
                <w:lang w:val="lt-LT"/>
              </w:rPr>
              <w:t xml:space="preserve"> organizacijų) ir mobilumas mokymo tikslais.</w:t>
            </w:r>
          </w:p>
          <w:p w14:paraId="04B46A99" w14:textId="77777777" w:rsidR="0016617F" w:rsidRPr="00E25906" w:rsidRDefault="0016617F" w:rsidP="004269F0">
            <w:pPr>
              <w:pStyle w:val="TableParagraph"/>
              <w:spacing w:before="1"/>
              <w:rPr>
                <w:rFonts w:asciiTheme="minorHAnsi" w:hAnsiTheme="minorHAnsi" w:cstheme="minorHAnsi"/>
                <w:b/>
                <w:lang w:val="lt-LT"/>
              </w:rPr>
            </w:pPr>
          </w:p>
          <w:p w14:paraId="186A12CD" w14:textId="77777777" w:rsidR="0016617F" w:rsidRPr="00E25906" w:rsidRDefault="0016617F" w:rsidP="004269F0">
            <w:pPr>
              <w:pStyle w:val="TableParagraph"/>
              <w:ind w:left="132"/>
              <w:rPr>
                <w:rFonts w:asciiTheme="minorHAnsi" w:hAnsiTheme="minorHAnsi" w:cstheme="minorHAnsi"/>
                <w:lang w:val="lt-LT"/>
              </w:rPr>
            </w:pPr>
            <w:r w:rsidRPr="00E25906">
              <w:rPr>
                <w:rFonts w:asciiTheme="minorHAnsi" w:hAnsiTheme="minorHAnsi" w:cstheme="minorHAnsi"/>
                <w:spacing w:val="-2"/>
                <w:u w:val="single" w:color="0F0F0F"/>
                <w:lang w:val="lt-LT"/>
              </w:rPr>
              <w:t xml:space="preserve">Paraiška </w:t>
            </w:r>
          </w:p>
          <w:p w14:paraId="38600430" w14:textId="47F488AB" w:rsidR="0016617F" w:rsidRPr="00E25906" w:rsidRDefault="0016617F" w:rsidP="0016617F">
            <w:pPr>
              <w:pStyle w:val="TableParagraph"/>
              <w:numPr>
                <w:ilvl w:val="0"/>
                <w:numId w:val="23"/>
              </w:numPr>
              <w:tabs>
                <w:tab w:val="left" w:pos="847"/>
                <w:tab w:val="left" w:pos="848"/>
              </w:tabs>
              <w:spacing w:before="10" w:line="228" w:lineRule="auto"/>
              <w:ind w:right="187"/>
              <w:rPr>
                <w:rFonts w:asciiTheme="minorHAnsi" w:hAnsiTheme="minorHAnsi" w:cstheme="minorHAnsi"/>
                <w:lang w:val="lt-LT"/>
              </w:rPr>
            </w:pPr>
            <w:r w:rsidRPr="00E25906">
              <w:rPr>
                <w:rFonts w:asciiTheme="minorHAnsi" w:hAnsiTheme="minorHAnsi" w:cstheme="minorHAnsi"/>
                <w:lang w:val="lt-LT"/>
              </w:rPr>
              <w:t xml:space="preserve">Dalyviai teikia paraiškas tiesiogiai </w:t>
            </w:r>
            <w:r w:rsidR="00C01EA5" w:rsidRPr="00E25906">
              <w:rPr>
                <w:rFonts w:asciiTheme="minorHAnsi" w:hAnsiTheme="minorHAnsi" w:cstheme="minorHAnsi"/>
                <w:lang w:val="lt-LT"/>
              </w:rPr>
              <w:t xml:space="preserve">dotaciją gaunančiai </w:t>
            </w:r>
            <w:r w:rsidR="005D40CE" w:rsidRPr="00E25906">
              <w:rPr>
                <w:rFonts w:asciiTheme="minorHAnsi" w:hAnsiTheme="minorHAnsi" w:cstheme="minorHAnsi"/>
                <w:lang w:val="lt-LT"/>
              </w:rPr>
              <w:t>MSI</w:t>
            </w:r>
            <w:r w:rsidRPr="00E25906">
              <w:rPr>
                <w:rFonts w:asciiTheme="minorHAnsi" w:hAnsiTheme="minorHAnsi" w:cstheme="minorHAnsi"/>
                <w:lang w:val="lt-LT"/>
              </w:rPr>
              <w:t>, kurio</w:t>
            </w:r>
            <w:r w:rsidR="009C3263" w:rsidRPr="00E25906">
              <w:rPr>
                <w:rFonts w:asciiTheme="minorHAnsi" w:hAnsiTheme="minorHAnsi" w:cstheme="minorHAnsi"/>
                <w:lang w:val="lt-LT"/>
              </w:rPr>
              <w:t>s</w:t>
            </w:r>
            <w:r w:rsidRPr="00E25906">
              <w:rPr>
                <w:rFonts w:asciiTheme="minorHAnsi" w:hAnsiTheme="minorHAnsi" w:cstheme="minorHAnsi"/>
                <w:lang w:val="lt-LT"/>
              </w:rPr>
              <w:t xml:space="preserve"> </w:t>
            </w:r>
            <w:r w:rsidR="009C3263" w:rsidRPr="00E25906">
              <w:rPr>
                <w:rFonts w:asciiTheme="minorHAnsi" w:hAnsiTheme="minorHAnsi" w:cstheme="minorHAnsi"/>
                <w:lang w:val="lt-LT"/>
              </w:rPr>
              <w:t>mobilumo veiklose</w:t>
            </w:r>
            <w:r w:rsidR="00CD5199" w:rsidRPr="00E25906">
              <w:rPr>
                <w:rFonts w:asciiTheme="minorHAnsi" w:hAnsiTheme="minorHAnsi" w:cstheme="minorHAnsi"/>
                <w:lang w:val="lt-LT"/>
              </w:rPr>
              <w:t xml:space="preserve"> </w:t>
            </w:r>
            <w:r w:rsidRPr="00E25906">
              <w:rPr>
                <w:rFonts w:asciiTheme="minorHAnsi" w:hAnsiTheme="minorHAnsi" w:cstheme="minorHAnsi"/>
                <w:lang w:val="lt-LT"/>
              </w:rPr>
              <w:t>norėtų dalyvauti</w:t>
            </w:r>
            <w:r w:rsidR="009C3263" w:rsidRPr="00E25906">
              <w:rPr>
                <w:rFonts w:asciiTheme="minorHAnsi" w:hAnsiTheme="minorHAnsi" w:cstheme="minorHAnsi"/>
                <w:lang w:val="lt-LT"/>
              </w:rPr>
              <w:t>.</w:t>
            </w:r>
            <w:r w:rsidRPr="00E25906">
              <w:rPr>
                <w:rFonts w:asciiTheme="minorHAnsi" w:hAnsiTheme="minorHAnsi" w:cstheme="minorHAnsi"/>
                <w:lang w:val="lt-LT"/>
              </w:rPr>
              <w:t xml:space="preserve"> </w:t>
            </w:r>
          </w:p>
          <w:p w14:paraId="568D6460" w14:textId="77777777" w:rsidR="0016617F" w:rsidRPr="00E25906" w:rsidRDefault="0016617F" w:rsidP="004269F0">
            <w:pPr>
              <w:pStyle w:val="TableParagraph"/>
              <w:tabs>
                <w:tab w:val="left" w:pos="847"/>
                <w:tab w:val="left" w:pos="848"/>
                <w:tab w:val="left" w:pos="1570"/>
              </w:tabs>
              <w:spacing w:before="11" w:line="230" w:lineRule="auto"/>
              <w:ind w:left="851" w:right="1644"/>
              <w:rPr>
                <w:rFonts w:asciiTheme="minorHAnsi" w:hAnsiTheme="minorHAnsi" w:cstheme="minorHAnsi"/>
                <w:spacing w:val="-10"/>
                <w:lang w:val="lt-LT"/>
              </w:rPr>
            </w:pPr>
            <w:r w:rsidRPr="00E25906">
              <w:rPr>
                <w:rFonts w:asciiTheme="minorHAnsi" w:hAnsiTheme="minorHAnsi" w:cstheme="minorHAnsi"/>
                <w:spacing w:val="-10"/>
                <w:lang w:val="lt-LT"/>
              </w:rPr>
              <w:t>o Tarpinstitucinės sutarties sudaryti nereikia.</w:t>
            </w:r>
          </w:p>
          <w:p w14:paraId="0950A6E5" w14:textId="0B8D40BA" w:rsidR="0016617F" w:rsidRPr="00E25906" w:rsidRDefault="0016617F" w:rsidP="004269F0">
            <w:pPr>
              <w:pStyle w:val="TableParagraph"/>
              <w:tabs>
                <w:tab w:val="left" w:pos="847"/>
                <w:tab w:val="left" w:pos="848"/>
                <w:tab w:val="left" w:pos="1570"/>
              </w:tabs>
              <w:spacing w:before="11" w:line="230" w:lineRule="auto"/>
              <w:ind w:left="851" w:right="1644"/>
              <w:rPr>
                <w:rFonts w:asciiTheme="minorHAnsi" w:hAnsiTheme="minorHAnsi" w:cstheme="minorHAnsi"/>
                <w:spacing w:val="-10"/>
                <w:lang w:val="lt-LT"/>
              </w:rPr>
            </w:pPr>
            <w:r w:rsidRPr="00E25906">
              <w:rPr>
                <w:rFonts w:asciiTheme="minorHAnsi" w:hAnsiTheme="minorHAnsi" w:cstheme="minorHAnsi"/>
                <w:spacing w:val="-10"/>
                <w:lang w:val="lt-LT"/>
              </w:rPr>
              <w:t xml:space="preserve">o </w:t>
            </w:r>
            <w:r w:rsidR="003E5E89" w:rsidRPr="00E25906">
              <w:rPr>
                <w:rFonts w:asciiTheme="minorHAnsi" w:hAnsiTheme="minorHAnsi" w:cstheme="minorHAnsi"/>
                <w:spacing w:val="-10"/>
                <w:lang w:val="lt-LT"/>
              </w:rPr>
              <w:t xml:space="preserve">Nominacijų </w:t>
            </w:r>
            <w:r w:rsidRPr="00E25906">
              <w:rPr>
                <w:rFonts w:asciiTheme="minorHAnsi" w:hAnsiTheme="minorHAnsi" w:cstheme="minorHAnsi"/>
                <w:spacing w:val="-10"/>
                <w:lang w:val="lt-LT"/>
              </w:rPr>
              <w:t>teikti nereikia.</w:t>
            </w:r>
          </w:p>
          <w:p w14:paraId="761F67DE" w14:textId="162F343F" w:rsidR="0016617F" w:rsidRPr="00E25906" w:rsidRDefault="0016617F" w:rsidP="004269F0">
            <w:pPr>
              <w:pStyle w:val="TableParagraph"/>
              <w:tabs>
                <w:tab w:val="left" w:pos="847"/>
                <w:tab w:val="left" w:pos="848"/>
                <w:tab w:val="left" w:pos="1570"/>
              </w:tabs>
              <w:spacing w:before="11" w:line="230" w:lineRule="auto"/>
              <w:ind w:left="851" w:right="474"/>
              <w:rPr>
                <w:rFonts w:asciiTheme="minorHAnsi" w:hAnsiTheme="minorHAnsi" w:cstheme="minorHAnsi"/>
                <w:spacing w:val="-10"/>
                <w:lang w:val="lt-LT"/>
              </w:rPr>
            </w:pPr>
            <w:r w:rsidRPr="00E25906">
              <w:rPr>
                <w:rFonts w:asciiTheme="minorHAnsi" w:hAnsiTheme="minorHAnsi" w:cstheme="minorHAnsi"/>
                <w:spacing w:val="-10"/>
                <w:lang w:val="lt-LT"/>
              </w:rPr>
              <w:t xml:space="preserve">o Mokymosi sutartis </w:t>
            </w:r>
            <w:r w:rsidRPr="00E25906">
              <w:rPr>
                <w:rFonts w:asciiTheme="minorHAnsi" w:hAnsiTheme="minorHAnsi" w:cstheme="minorHAnsi"/>
                <w:lang w:val="lt-LT"/>
              </w:rPr>
              <w:t xml:space="preserve">ir (arba) </w:t>
            </w:r>
            <w:r w:rsidRPr="00E25906">
              <w:rPr>
                <w:rFonts w:asciiTheme="minorHAnsi" w:hAnsiTheme="minorHAnsi" w:cstheme="minorHAnsi"/>
                <w:spacing w:val="-10"/>
                <w:lang w:val="lt-LT"/>
              </w:rPr>
              <w:t xml:space="preserve">darbuotojų mobilumo sutartis pasirašoma tik tarp dalyvio ir priimančiosios institucijos (taip pat su stažuotę priimančia organizacija, jei ji nėra </w:t>
            </w:r>
            <w:r w:rsidR="005D40CE" w:rsidRPr="00E25906">
              <w:rPr>
                <w:rFonts w:asciiTheme="minorHAnsi" w:hAnsiTheme="minorHAnsi" w:cstheme="minorHAnsi"/>
                <w:lang w:val="lt-LT"/>
              </w:rPr>
              <w:t>MSI</w:t>
            </w:r>
            <w:r w:rsidRPr="00E25906">
              <w:rPr>
                <w:rFonts w:asciiTheme="minorHAnsi" w:hAnsiTheme="minorHAnsi" w:cstheme="minorHAnsi"/>
                <w:spacing w:val="-10"/>
                <w:lang w:val="lt-LT"/>
              </w:rPr>
              <w:t>).</w:t>
            </w:r>
          </w:p>
          <w:p w14:paraId="42BB0AF1" w14:textId="4528AE78" w:rsidR="0016617F" w:rsidRPr="00E25906" w:rsidRDefault="00FF65BE" w:rsidP="008A6B7B">
            <w:pPr>
              <w:pStyle w:val="TableParagraph"/>
              <w:numPr>
                <w:ilvl w:val="0"/>
                <w:numId w:val="23"/>
              </w:numPr>
              <w:tabs>
                <w:tab w:val="left" w:pos="850"/>
                <w:tab w:val="left" w:pos="851"/>
                <w:tab w:val="left" w:pos="1570"/>
              </w:tabs>
              <w:spacing w:before="11" w:line="230" w:lineRule="auto"/>
              <w:ind w:right="1644"/>
              <w:rPr>
                <w:lang w:val="lt-LT"/>
              </w:rPr>
            </w:pPr>
            <w:r w:rsidRPr="00E25906">
              <w:rPr>
                <w:rFonts w:asciiTheme="minorHAnsi" w:hAnsiTheme="minorHAnsi" w:cstheme="minorHAnsi"/>
                <w:lang w:val="lt-LT"/>
              </w:rPr>
              <w:t>Dotaciją</w:t>
            </w:r>
            <w:r w:rsidR="000770E2" w:rsidRPr="00E25906">
              <w:rPr>
                <w:rFonts w:asciiTheme="minorHAnsi" w:hAnsiTheme="minorHAnsi" w:cstheme="minorHAnsi"/>
                <w:lang w:val="lt-LT"/>
              </w:rPr>
              <w:t xml:space="preserve"> </w:t>
            </w:r>
            <w:r w:rsidR="0016617F" w:rsidRPr="00E25906">
              <w:rPr>
                <w:rFonts w:asciiTheme="minorHAnsi" w:hAnsiTheme="minorHAnsi" w:cstheme="minorHAnsi"/>
                <w:lang w:val="lt-LT"/>
              </w:rPr>
              <w:t>gaunanti ir (arba) pr</w:t>
            </w:r>
            <w:r w:rsidR="0016617F" w:rsidRPr="00E25906">
              <w:rPr>
                <w:rFonts w:asciiTheme="minorHAnsi" w:hAnsiTheme="minorHAnsi" w:cstheme="minorHAnsi"/>
                <w:spacing w:val="-10"/>
                <w:lang w:val="lt-LT"/>
              </w:rPr>
              <w:t xml:space="preserve">iimančioji </w:t>
            </w:r>
            <w:r w:rsidR="005D40CE" w:rsidRPr="00E25906">
              <w:rPr>
                <w:rFonts w:asciiTheme="minorHAnsi" w:hAnsiTheme="minorHAnsi" w:cstheme="minorHAnsi"/>
                <w:lang w:val="lt-LT"/>
              </w:rPr>
              <w:t>MSI</w:t>
            </w:r>
            <w:r w:rsidR="0016617F" w:rsidRPr="00E25906">
              <w:rPr>
                <w:rFonts w:asciiTheme="minorHAnsi" w:hAnsiTheme="minorHAnsi" w:cstheme="minorHAnsi"/>
                <w:lang w:val="lt-LT"/>
              </w:rPr>
              <w:t xml:space="preserve"> </w:t>
            </w:r>
            <w:r w:rsidR="000770E2" w:rsidRPr="00E25906">
              <w:rPr>
                <w:rFonts w:asciiTheme="minorHAnsi" w:hAnsiTheme="minorHAnsi" w:cstheme="minorHAnsi"/>
                <w:lang w:val="lt-LT"/>
              </w:rPr>
              <w:t xml:space="preserve">gali </w:t>
            </w:r>
            <w:r w:rsidR="009C3263" w:rsidRPr="00E25906">
              <w:rPr>
                <w:rFonts w:asciiTheme="minorHAnsi" w:hAnsiTheme="minorHAnsi" w:cstheme="minorHAnsi"/>
                <w:lang w:val="lt-LT"/>
              </w:rPr>
              <w:t xml:space="preserve">priimti </w:t>
            </w:r>
            <w:r w:rsidR="000770E2" w:rsidRPr="00E25906">
              <w:rPr>
                <w:rFonts w:asciiTheme="minorHAnsi" w:hAnsiTheme="minorHAnsi" w:cstheme="minorHAnsi"/>
                <w:lang w:val="lt-LT"/>
              </w:rPr>
              <w:t xml:space="preserve">dalyvius nuolat, be nominacijų termino. </w:t>
            </w:r>
            <w:r w:rsidR="000770E2" w:rsidRPr="00E25906">
              <w:rPr>
                <w:rFonts w:asciiTheme="minorHAnsi" w:hAnsiTheme="minorHAnsi" w:cstheme="minorHAnsi"/>
                <w:spacing w:val="-10"/>
                <w:lang w:val="lt-LT"/>
              </w:rPr>
              <w:t xml:space="preserve"> </w:t>
            </w:r>
            <w:r w:rsidR="00C71ABD" w:rsidRPr="00E25906">
              <w:rPr>
                <w:rFonts w:asciiTheme="minorHAnsi" w:hAnsiTheme="minorHAnsi" w:cstheme="minorHAnsi"/>
                <w:spacing w:val="-10"/>
                <w:lang w:val="lt-LT"/>
              </w:rPr>
              <w:t xml:space="preserve"> </w:t>
            </w:r>
          </w:p>
        </w:tc>
      </w:tr>
      <w:tr w:rsidR="0016617F" w:rsidRPr="00E25906" w14:paraId="42A9F062" w14:textId="77777777" w:rsidTr="0001055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096"/>
        </w:trPr>
        <w:tc>
          <w:tcPr>
            <w:tcW w:w="2933" w:type="dxa"/>
          </w:tcPr>
          <w:p w14:paraId="60A35809" w14:textId="77777777" w:rsidR="0016617F" w:rsidRPr="00E25906" w:rsidRDefault="0016617F" w:rsidP="004269F0">
            <w:pPr>
              <w:pStyle w:val="TableParagraph"/>
              <w:rPr>
                <w:rFonts w:asciiTheme="minorHAnsi" w:hAnsiTheme="minorHAnsi" w:cstheme="minorHAnsi"/>
                <w:lang w:val="lt-LT"/>
              </w:rPr>
            </w:pPr>
          </w:p>
        </w:tc>
        <w:tc>
          <w:tcPr>
            <w:tcW w:w="11545" w:type="dxa"/>
          </w:tcPr>
          <w:p w14:paraId="75754E06" w14:textId="79E87A7C" w:rsidR="0016617F" w:rsidRPr="00E25906" w:rsidRDefault="0016617F" w:rsidP="0016617F">
            <w:pPr>
              <w:pStyle w:val="TableParagraph"/>
              <w:numPr>
                <w:ilvl w:val="0"/>
                <w:numId w:val="22"/>
              </w:numPr>
              <w:tabs>
                <w:tab w:val="left" w:pos="846"/>
              </w:tabs>
              <w:spacing w:line="272" w:lineRule="exact"/>
              <w:ind w:right="332"/>
              <w:jc w:val="both"/>
              <w:rPr>
                <w:rFonts w:asciiTheme="minorHAnsi" w:hAnsiTheme="minorHAnsi" w:cstheme="minorHAnsi"/>
                <w:lang w:val="lt-LT"/>
              </w:rPr>
            </w:pPr>
            <w:r w:rsidRPr="00E25906">
              <w:rPr>
                <w:rFonts w:asciiTheme="minorHAnsi" w:hAnsiTheme="minorHAnsi" w:cstheme="minorHAnsi"/>
                <w:lang w:val="lt-LT"/>
              </w:rPr>
              <w:tab/>
            </w:r>
            <w:r w:rsidR="00FF65BE" w:rsidRPr="00E25906">
              <w:rPr>
                <w:rFonts w:asciiTheme="minorHAnsi" w:hAnsiTheme="minorHAnsi" w:cstheme="minorHAnsi"/>
                <w:lang w:val="lt-LT"/>
              </w:rPr>
              <w:t>Dotaciją</w:t>
            </w:r>
            <w:r w:rsidR="008F6E19" w:rsidRPr="00E25906">
              <w:rPr>
                <w:rFonts w:asciiTheme="minorHAnsi" w:hAnsiTheme="minorHAnsi" w:cstheme="minorHAnsi"/>
                <w:lang w:val="lt-LT"/>
              </w:rPr>
              <w:t xml:space="preserve"> </w:t>
            </w:r>
            <w:r w:rsidRPr="00E25906">
              <w:rPr>
                <w:rFonts w:asciiTheme="minorHAnsi" w:hAnsiTheme="minorHAnsi" w:cstheme="minorHAnsi"/>
                <w:lang w:val="lt-LT"/>
              </w:rPr>
              <w:t>gaunanti ir (arba) priimančioji institucija tur</w:t>
            </w:r>
            <w:r w:rsidR="00314D2B" w:rsidRPr="00E25906">
              <w:rPr>
                <w:rFonts w:asciiTheme="minorHAnsi" w:hAnsiTheme="minorHAnsi" w:cstheme="minorHAnsi"/>
                <w:lang w:val="lt-LT"/>
              </w:rPr>
              <w:t>i</w:t>
            </w:r>
            <w:r w:rsidR="005F5A8C" w:rsidRPr="00E25906">
              <w:rPr>
                <w:rFonts w:asciiTheme="minorHAnsi" w:hAnsiTheme="minorHAnsi" w:cstheme="minorHAnsi"/>
                <w:lang w:val="lt-LT"/>
              </w:rPr>
              <w:t xml:space="preserve"> </w:t>
            </w:r>
            <w:r w:rsidRPr="00E25906">
              <w:rPr>
                <w:rFonts w:asciiTheme="minorHAnsi" w:hAnsiTheme="minorHAnsi" w:cstheme="minorHAnsi"/>
                <w:lang w:val="lt-LT"/>
              </w:rPr>
              <w:t xml:space="preserve">aiškiai apibrėžti </w:t>
            </w:r>
            <w:r w:rsidR="00314D2B" w:rsidRPr="00E25906">
              <w:rPr>
                <w:rFonts w:asciiTheme="minorHAnsi" w:hAnsiTheme="minorHAnsi" w:cstheme="minorHAnsi"/>
                <w:lang w:val="lt-LT"/>
              </w:rPr>
              <w:t xml:space="preserve">paraiškų teikimo ir priėmimo kriterijus </w:t>
            </w:r>
            <w:r w:rsidRPr="00E25906">
              <w:rPr>
                <w:rFonts w:asciiTheme="minorHAnsi" w:hAnsiTheme="minorHAnsi" w:cstheme="minorHAnsi"/>
                <w:lang w:val="lt-LT"/>
              </w:rPr>
              <w:t xml:space="preserve">ir </w:t>
            </w:r>
            <w:r w:rsidR="00314D2B" w:rsidRPr="00E25906">
              <w:rPr>
                <w:rFonts w:asciiTheme="minorHAnsi" w:hAnsiTheme="minorHAnsi" w:cstheme="minorHAnsi"/>
                <w:lang w:val="lt-LT"/>
              </w:rPr>
              <w:t xml:space="preserve">juos viešai </w:t>
            </w:r>
            <w:r w:rsidRPr="00E25906">
              <w:rPr>
                <w:rFonts w:asciiTheme="minorHAnsi" w:hAnsiTheme="minorHAnsi" w:cstheme="minorHAnsi"/>
                <w:lang w:val="lt-LT"/>
              </w:rPr>
              <w:t>paskelbti</w:t>
            </w:r>
            <w:r w:rsidR="00314D2B" w:rsidRPr="00E25906">
              <w:rPr>
                <w:rFonts w:asciiTheme="minorHAnsi" w:hAnsiTheme="minorHAnsi" w:cstheme="minorHAnsi"/>
                <w:lang w:val="lt-LT"/>
              </w:rPr>
              <w:t>.</w:t>
            </w:r>
          </w:p>
          <w:p w14:paraId="303F2694" w14:textId="59AB72CC" w:rsidR="0016617F" w:rsidRPr="00E25906" w:rsidRDefault="008F6E19" w:rsidP="0016617F">
            <w:pPr>
              <w:pStyle w:val="TableParagraph"/>
              <w:numPr>
                <w:ilvl w:val="0"/>
                <w:numId w:val="22"/>
              </w:numPr>
              <w:tabs>
                <w:tab w:val="left" w:pos="846"/>
              </w:tabs>
              <w:spacing w:line="272" w:lineRule="exact"/>
              <w:ind w:right="332"/>
              <w:jc w:val="both"/>
              <w:rPr>
                <w:rFonts w:asciiTheme="minorHAnsi" w:hAnsiTheme="minorHAnsi" w:cstheme="minorHAnsi"/>
                <w:lang w:val="lt-LT"/>
              </w:rPr>
            </w:pPr>
            <w:r w:rsidRPr="00E25906">
              <w:rPr>
                <w:rFonts w:asciiTheme="minorHAnsi" w:hAnsiTheme="minorHAnsi" w:cstheme="minorHAnsi"/>
                <w:lang w:val="lt-LT"/>
              </w:rPr>
              <w:t xml:space="preserve">Dotaciją </w:t>
            </w:r>
            <w:r w:rsidR="0016617F" w:rsidRPr="00E25906">
              <w:rPr>
                <w:rFonts w:asciiTheme="minorHAnsi" w:hAnsiTheme="minorHAnsi" w:cstheme="minorHAnsi"/>
                <w:lang w:val="lt-LT"/>
              </w:rPr>
              <w:t>gaunančios ir (arba) priimančiosios institucijos turėtų apsvarstyti galimybę supaprastinti iš atvykstančių dalyvių reikalaujamus kalbos mokėjimo įrodymus, nes dalyviai gali neturėti galimybės naudotis kalbos testais ir gauti pažymėjimus (pavyzdžiui, prireikus galima organizuoti testą priimančiojoje institucijoje).</w:t>
            </w:r>
          </w:p>
          <w:p w14:paraId="01B7D2E9" w14:textId="77777777" w:rsidR="0016617F" w:rsidRPr="00E25906" w:rsidRDefault="0016617F" w:rsidP="0016617F">
            <w:pPr>
              <w:pStyle w:val="TableParagraph"/>
              <w:numPr>
                <w:ilvl w:val="0"/>
                <w:numId w:val="22"/>
              </w:numPr>
              <w:tabs>
                <w:tab w:val="left" w:pos="846"/>
              </w:tabs>
              <w:spacing w:line="272" w:lineRule="exact"/>
              <w:ind w:right="332"/>
              <w:jc w:val="both"/>
              <w:rPr>
                <w:rFonts w:asciiTheme="minorHAnsi" w:hAnsiTheme="minorHAnsi" w:cstheme="minorHAnsi"/>
                <w:lang w:val="lt-LT"/>
              </w:rPr>
            </w:pPr>
            <w:r w:rsidRPr="00E25906">
              <w:rPr>
                <w:rFonts w:asciiTheme="minorHAnsi" w:hAnsiTheme="minorHAnsi" w:cstheme="minorHAnsi"/>
                <w:lang w:val="lt-LT"/>
              </w:rPr>
              <w:t>Pagal galiojančias taisykles dotacija gali būti skiriama tik už studijų ir (arba) mokymosi ir (arba) dėstymo ir (arba)  mokymo laikotarpį.</w:t>
            </w:r>
          </w:p>
          <w:p w14:paraId="0422F1A4" w14:textId="77777777" w:rsidR="0016617F" w:rsidRPr="00E25906" w:rsidRDefault="0016617F" w:rsidP="004269F0">
            <w:pPr>
              <w:pStyle w:val="TableParagraph"/>
              <w:tabs>
                <w:tab w:val="left" w:pos="846"/>
              </w:tabs>
              <w:spacing w:line="272" w:lineRule="exact"/>
              <w:ind w:left="844"/>
              <w:jc w:val="both"/>
              <w:rPr>
                <w:rFonts w:asciiTheme="minorHAnsi" w:hAnsiTheme="minorHAnsi" w:cstheme="minorHAnsi"/>
                <w:b/>
                <w:lang w:val="lt-LT"/>
              </w:rPr>
            </w:pPr>
            <w:r w:rsidRPr="00E25906">
              <w:rPr>
                <w:rFonts w:asciiTheme="minorHAnsi" w:hAnsiTheme="minorHAnsi" w:cstheme="minorHAnsi"/>
                <w:b/>
                <w:lang w:val="lt-LT"/>
              </w:rPr>
              <w:t xml:space="preserve"> </w:t>
            </w:r>
          </w:p>
          <w:p w14:paraId="4B9CCE83" w14:textId="77777777" w:rsidR="0016617F" w:rsidRPr="00E25906" w:rsidRDefault="0016617F" w:rsidP="004269F0">
            <w:pPr>
              <w:pStyle w:val="TableParagraph"/>
              <w:spacing w:line="290" w:lineRule="exact"/>
              <w:ind w:left="126"/>
              <w:jc w:val="both"/>
              <w:rPr>
                <w:rFonts w:asciiTheme="minorHAnsi" w:hAnsiTheme="minorHAnsi" w:cstheme="minorHAnsi"/>
                <w:lang w:val="lt-LT"/>
              </w:rPr>
            </w:pPr>
            <w:bookmarkStart w:id="1" w:name="_Hlk100914449"/>
            <w:r w:rsidRPr="00E25906">
              <w:rPr>
                <w:rFonts w:asciiTheme="minorHAnsi" w:hAnsiTheme="minorHAnsi" w:cstheme="minorHAnsi"/>
                <w:w w:val="95"/>
                <w:u w:val="single" w:color="1F1F1F"/>
                <w:lang w:val="lt-LT"/>
              </w:rPr>
              <w:t xml:space="preserve">Kaip nustatomas tinkamumas? </w:t>
            </w:r>
          </w:p>
          <w:p w14:paraId="315941CC" w14:textId="77777777" w:rsidR="00501D97" w:rsidRPr="00E25906" w:rsidRDefault="00501D97" w:rsidP="004269F0">
            <w:pPr>
              <w:pStyle w:val="TableParagraph"/>
              <w:spacing w:line="272" w:lineRule="exact"/>
              <w:ind w:left="844" w:right="332"/>
              <w:jc w:val="both"/>
              <w:rPr>
                <w:rFonts w:asciiTheme="minorHAnsi" w:hAnsiTheme="minorHAnsi" w:cstheme="minorHAnsi"/>
                <w:lang w:val="lt-LT"/>
              </w:rPr>
            </w:pPr>
          </w:p>
          <w:p w14:paraId="33DACE63" w14:textId="53DF1C9B" w:rsidR="0009788C" w:rsidRPr="00E25906" w:rsidRDefault="00516622" w:rsidP="004269F0">
            <w:pPr>
              <w:pStyle w:val="TableParagraph"/>
              <w:spacing w:line="272" w:lineRule="exact"/>
              <w:ind w:left="844" w:right="332"/>
              <w:jc w:val="both"/>
              <w:rPr>
                <w:rFonts w:asciiTheme="minorHAnsi" w:hAnsiTheme="minorHAnsi" w:cstheme="minorHAnsi"/>
                <w:lang w:val="lt-LT"/>
              </w:rPr>
            </w:pPr>
            <w:r w:rsidRPr="00E25906">
              <w:rPr>
                <w:rFonts w:asciiTheme="minorHAnsi" w:hAnsiTheme="minorHAnsi" w:cstheme="minorHAnsi"/>
                <w:lang w:val="lt-LT"/>
              </w:rPr>
              <w:t>Dotacijos</w:t>
            </w:r>
            <w:r w:rsidR="0009788C" w:rsidRPr="00E25906">
              <w:rPr>
                <w:rFonts w:asciiTheme="minorHAnsi" w:hAnsiTheme="minorHAnsi" w:cstheme="minorHAnsi"/>
                <w:lang w:val="lt-LT"/>
              </w:rPr>
              <w:t xml:space="preserve"> gavėjas</w:t>
            </w:r>
            <w:r w:rsidR="00A07D9C" w:rsidRPr="00E25906">
              <w:rPr>
                <w:rFonts w:asciiTheme="minorHAnsi" w:hAnsiTheme="minorHAnsi" w:cstheme="minorHAnsi"/>
                <w:lang w:val="lt-LT"/>
              </w:rPr>
              <w:t xml:space="preserve"> ir (arba) </w:t>
            </w:r>
            <w:r w:rsidR="0009788C" w:rsidRPr="00E25906">
              <w:rPr>
                <w:rFonts w:asciiTheme="minorHAnsi" w:hAnsiTheme="minorHAnsi" w:cstheme="minorHAnsi"/>
                <w:lang w:val="lt-LT"/>
              </w:rPr>
              <w:t xml:space="preserve">priimančioji institucija </w:t>
            </w:r>
            <w:r w:rsidR="00291F2C" w:rsidRPr="00E25906">
              <w:rPr>
                <w:rFonts w:asciiTheme="minorHAnsi" w:hAnsiTheme="minorHAnsi" w:cstheme="minorHAnsi"/>
                <w:lang w:val="lt-LT"/>
              </w:rPr>
              <w:t xml:space="preserve">turi </w:t>
            </w:r>
            <w:r w:rsidR="00291F2C" w:rsidRPr="00E25906">
              <w:rPr>
                <w:rFonts w:asciiTheme="minorHAnsi" w:hAnsiTheme="minorHAnsi" w:cstheme="minorHAnsi"/>
                <w:b/>
                <w:lang w:val="lt-LT"/>
              </w:rPr>
              <w:t>patikrinti ir kaupti</w:t>
            </w:r>
            <w:r w:rsidR="00291F2C" w:rsidRPr="00E25906">
              <w:rPr>
                <w:rFonts w:asciiTheme="minorHAnsi" w:hAnsiTheme="minorHAnsi" w:cstheme="minorHAnsi"/>
                <w:lang w:val="lt-LT"/>
              </w:rPr>
              <w:t xml:space="preserve"> šiuos mobilumo dalyvių, </w:t>
            </w:r>
            <w:proofErr w:type="spellStart"/>
            <w:r w:rsidR="00291F2C" w:rsidRPr="00E25906">
              <w:rPr>
                <w:rFonts w:asciiTheme="minorHAnsi" w:hAnsiTheme="minorHAnsi" w:cstheme="minorHAnsi"/>
                <w:lang w:val="lt-LT"/>
              </w:rPr>
              <w:t>t.y</w:t>
            </w:r>
            <w:proofErr w:type="spellEnd"/>
            <w:r w:rsidR="00291F2C" w:rsidRPr="00E25906">
              <w:rPr>
                <w:rFonts w:asciiTheme="minorHAnsi" w:hAnsiTheme="minorHAnsi" w:cstheme="minorHAnsi"/>
                <w:lang w:val="lt-LT"/>
              </w:rPr>
              <w:t xml:space="preserve">. Ukrainos piliečių karo </w:t>
            </w:r>
            <w:r w:rsidR="00D45D41" w:rsidRPr="00E25906">
              <w:rPr>
                <w:rFonts w:asciiTheme="minorHAnsi" w:hAnsiTheme="minorHAnsi" w:cstheme="minorHAnsi"/>
                <w:lang w:val="lt-LT"/>
              </w:rPr>
              <w:t>pabėgėlių</w:t>
            </w:r>
            <w:r w:rsidR="00291F2C" w:rsidRPr="00E25906">
              <w:rPr>
                <w:rFonts w:asciiTheme="minorHAnsi" w:hAnsiTheme="minorHAnsi" w:cstheme="minorHAnsi"/>
                <w:lang w:val="lt-LT"/>
              </w:rPr>
              <w:t xml:space="preserve">, statusą patvirtinančius dokumentus: </w:t>
            </w:r>
          </w:p>
          <w:p w14:paraId="700F495B" w14:textId="77777777" w:rsidR="00291F2C" w:rsidRPr="00E25906" w:rsidRDefault="00291F2C" w:rsidP="00D45D41">
            <w:pPr>
              <w:pStyle w:val="TableParagraph"/>
              <w:spacing w:line="272" w:lineRule="exact"/>
              <w:ind w:right="332"/>
              <w:jc w:val="both"/>
              <w:rPr>
                <w:rFonts w:asciiTheme="minorHAnsi" w:hAnsiTheme="minorHAnsi" w:cstheme="minorHAnsi"/>
                <w:lang w:val="lt-LT"/>
              </w:rPr>
            </w:pPr>
          </w:p>
          <w:p w14:paraId="020A3C1E" w14:textId="56E71D37" w:rsidR="0016617F" w:rsidRPr="00E25906" w:rsidRDefault="0016617F" w:rsidP="004269F0">
            <w:pPr>
              <w:pStyle w:val="TableParagraph"/>
              <w:spacing w:line="230" w:lineRule="auto"/>
              <w:ind w:left="846" w:right="670" w:hanging="1"/>
              <w:jc w:val="both"/>
              <w:rPr>
                <w:rFonts w:asciiTheme="minorHAnsi" w:hAnsiTheme="minorHAnsi" w:cstheme="minorHAnsi"/>
                <w:lang w:val="lt-LT"/>
              </w:rPr>
            </w:pPr>
            <w:r w:rsidRPr="00E25906">
              <w:rPr>
                <w:rFonts w:asciiTheme="minorHAnsi" w:hAnsiTheme="minorHAnsi" w:cstheme="minorHAnsi"/>
                <w:lang w:val="lt-LT"/>
              </w:rPr>
              <w:t xml:space="preserve">o </w:t>
            </w:r>
            <w:r w:rsidR="00D45D41" w:rsidRPr="00E25906">
              <w:rPr>
                <w:rFonts w:asciiTheme="minorHAnsi" w:hAnsiTheme="minorHAnsi" w:cstheme="minorHAnsi"/>
                <w:lang w:val="lt-LT"/>
              </w:rPr>
              <w:t>Studentų atveju</w:t>
            </w:r>
            <w:r w:rsidRPr="00E25906">
              <w:rPr>
                <w:rFonts w:asciiTheme="minorHAnsi" w:hAnsiTheme="minorHAnsi" w:cstheme="minorHAnsi"/>
                <w:lang w:val="lt-LT"/>
              </w:rPr>
              <w:t xml:space="preserve">: </w:t>
            </w:r>
            <w:r w:rsidR="00D45D41" w:rsidRPr="00E25906">
              <w:rPr>
                <w:rFonts w:asciiTheme="minorHAnsi" w:hAnsiTheme="minorHAnsi" w:cstheme="minorHAnsi"/>
                <w:iCs/>
                <w:lang w:val="lt-LT"/>
              </w:rPr>
              <w:t>priėmimo/studento pažymėjimai, akademinės pažymos,</w:t>
            </w:r>
            <w:r w:rsidR="00D351AD" w:rsidRPr="00E25906">
              <w:rPr>
                <w:rFonts w:asciiTheme="minorHAnsi" w:hAnsiTheme="minorHAnsi" w:cstheme="minorHAnsi"/>
                <w:iCs/>
                <w:lang w:val="lt-LT"/>
              </w:rPr>
              <w:t xml:space="preserve"> </w:t>
            </w:r>
            <w:r w:rsidR="00D45D41" w:rsidRPr="00E25906">
              <w:rPr>
                <w:rFonts w:asciiTheme="minorHAnsi" w:hAnsiTheme="minorHAnsi" w:cstheme="minorHAnsi"/>
                <w:iCs/>
                <w:lang w:val="lt-LT"/>
              </w:rPr>
              <w:t>Ukrainos aukštųjų mokyklų arba atitinkamų institucijų išduotos deklaracijos,</w:t>
            </w:r>
            <w:r w:rsidR="00CF2411" w:rsidRPr="00E25906">
              <w:rPr>
                <w:rFonts w:asciiTheme="minorHAnsi" w:hAnsiTheme="minorHAnsi" w:cstheme="minorHAnsi"/>
                <w:iCs/>
                <w:lang w:val="lt-LT"/>
              </w:rPr>
              <w:t xml:space="preserve"> </w:t>
            </w:r>
            <w:r w:rsidR="00566CB7" w:rsidRPr="00E25906">
              <w:rPr>
                <w:rFonts w:asciiTheme="minorHAnsi" w:hAnsiTheme="minorHAnsi" w:cstheme="minorHAnsi"/>
                <w:iCs/>
                <w:lang w:val="lt-LT"/>
              </w:rPr>
              <w:t>mokymosi sutartys,</w:t>
            </w:r>
            <w:r w:rsidR="00566CB7" w:rsidRPr="00E25906">
              <w:rPr>
                <w:rFonts w:asciiTheme="minorHAnsi" w:hAnsiTheme="minorHAnsi" w:cstheme="minorHAnsi"/>
                <w:lang w:val="lt-LT"/>
              </w:rPr>
              <w:t xml:space="preserve"> kiti </w:t>
            </w:r>
            <w:r w:rsidR="00516622" w:rsidRPr="00E25906">
              <w:rPr>
                <w:rFonts w:asciiTheme="minorHAnsi" w:hAnsiTheme="minorHAnsi" w:cstheme="minorHAnsi"/>
                <w:lang w:val="lt-LT"/>
              </w:rPr>
              <w:t>studento</w:t>
            </w:r>
            <w:r w:rsidR="00566CB7" w:rsidRPr="00E25906">
              <w:rPr>
                <w:rFonts w:asciiTheme="minorHAnsi" w:hAnsiTheme="minorHAnsi" w:cstheme="minorHAnsi"/>
                <w:lang w:val="lt-LT"/>
              </w:rPr>
              <w:t xml:space="preserve"> statusą </w:t>
            </w:r>
            <w:r w:rsidR="006A5153" w:rsidRPr="00E25906">
              <w:rPr>
                <w:rFonts w:asciiTheme="minorHAnsi" w:hAnsiTheme="minorHAnsi" w:cstheme="minorHAnsi"/>
                <w:lang w:val="lt-LT"/>
              </w:rPr>
              <w:t>p</w:t>
            </w:r>
            <w:r w:rsidR="00566CB7" w:rsidRPr="00E25906">
              <w:rPr>
                <w:rFonts w:asciiTheme="minorHAnsi" w:hAnsiTheme="minorHAnsi" w:cstheme="minorHAnsi"/>
                <w:lang w:val="lt-LT"/>
              </w:rPr>
              <w:t xml:space="preserve">atvirtinantys dokumentai. </w:t>
            </w:r>
            <w:r w:rsidR="00D45D41" w:rsidRPr="00E25906">
              <w:rPr>
                <w:rFonts w:asciiTheme="minorHAnsi" w:hAnsiTheme="minorHAnsi" w:cstheme="minorHAnsi"/>
                <w:lang w:val="lt-LT"/>
              </w:rPr>
              <w:t xml:space="preserve">  </w:t>
            </w:r>
          </w:p>
          <w:p w14:paraId="5DB10B56" w14:textId="13E6A279" w:rsidR="0016617F" w:rsidRPr="00E25906" w:rsidRDefault="0016617F" w:rsidP="004269F0">
            <w:pPr>
              <w:pStyle w:val="TableParagraph"/>
              <w:spacing w:line="230" w:lineRule="auto"/>
              <w:ind w:left="846" w:right="670" w:hanging="1"/>
              <w:jc w:val="both"/>
              <w:rPr>
                <w:rFonts w:asciiTheme="minorHAnsi" w:hAnsiTheme="minorHAnsi" w:cstheme="minorHAnsi"/>
                <w:iCs/>
                <w:lang w:val="lt-LT"/>
              </w:rPr>
            </w:pPr>
            <w:r w:rsidRPr="00E25906">
              <w:rPr>
                <w:rFonts w:asciiTheme="minorHAnsi" w:hAnsiTheme="minorHAnsi" w:cstheme="minorHAnsi"/>
                <w:lang w:val="lt-LT"/>
              </w:rPr>
              <w:t>o Darbuoto</w:t>
            </w:r>
            <w:r w:rsidR="00D45D41" w:rsidRPr="00E25906">
              <w:rPr>
                <w:rFonts w:asciiTheme="minorHAnsi" w:hAnsiTheme="minorHAnsi" w:cstheme="minorHAnsi"/>
                <w:lang w:val="lt-LT"/>
              </w:rPr>
              <w:t>jų atveju</w:t>
            </w:r>
            <w:r w:rsidRPr="00E25906">
              <w:rPr>
                <w:rFonts w:asciiTheme="minorHAnsi" w:hAnsiTheme="minorHAnsi" w:cstheme="minorHAnsi"/>
                <w:lang w:val="lt-LT"/>
              </w:rPr>
              <w:t xml:space="preserve">: darbo užmokesčio </w:t>
            </w:r>
            <w:r w:rsidR="00DA64BB" w:rsidRPr="00E25906">
              <w:rPr>
                <w:rFonts w:asciiTheme="minorHAnsi" w:hAnsiTheme="minorHAnsi" w:cstheme="minorHAnsi"/>
                <w:lang w:val="lt-LT"/>
              </w:rPr>
              <w:t>išrašai</w:t>
            </w:r>
            <w:r w:rsidRPr="00E25906">
              <w:rPr>
                <w:rFonts w:asciiTheme="minorHAnsi" w:hAnsiTheme="minorHAnsi" w:cstheme="minorHAnsi"/>
                <w:lang w:val="lt-LT"/>
              </w:rPr>
              <w:t xml:space="preserve">, diplomai, nurodantys </w:t>
            </w:r>
            <w:r w:rsidR="00DA64BB" w:rsidRPr="00E25906">
              <w:rPr>
                <w:rFonts w:asciiTheme="minorHAnsi" w:hAnsiTheme="minorHAnsi" w:cstheme="minorHAnsi"/>
                <w:lang w:val="lt-LT"/>
              </w:rPr>
              <w:t xml:space="preserve">darbuotojo specializacijos </w:t>
            </w:r>
            <w:r w:rsidRPr="00E25906">
              <w:rPr>
                <w:rFonts w:asciiTheme="minorHAnsi" w:hAnsiTheme="minorHAnsi" w:cstheme="minorHAnsi"/>
                <w:lang w:val="lt-LT"/>
              </w:rPr>
              <w:t>sritį, darbo sutartys,</w:t>
            </w:r>
            <w:r w:rsidR="00B71A2B" w:rsidRPr="00E25906">
              <w:rPr>
                <w:rFonts w:asciiTheme="minorHAnsi" w:hAnsiTheme="minorHAnsi" w:cstheme="minorHAnsi"/>
                <w:i/>
                <w:iCs/>
                <w:lang w:val="lt-LT"/>
              </w:rPr>
              <w:t xml:space="preserve"> </w:t>
            </w:r>
            <w:r w:rsidR="00B71A2B" w:rsidRPr="00E25906">
              <w:rPr>
                <w:rFonts w:asciiTheme="minorHAnsi" w:hAnsiTheme="minorHAnsi" w:cstheme="minorHAnsi"/>
                <w:iCs/>
                <w:lang w:val="lt-LT"/>
              </w:rPr>
              <w:t>Ukrainos aukštųjų mokyklų arba atitinkamų institucijų išduotos deklaracijos</w:t>
            </w:r>
            <w:r w:rsidR="00B71A2B" w:rsidRPr="00E25906">
              <w:rPr>
                <w:rFonts w:asciiTheme="minorHAnsi" w:hAnsiTheme="minorHAnsi" w:cstheme="minorHAnsi"/>
                <w:lang w:val="lt-LT"/>
              </w:rPr>
              <w:t xml:space="preserve">, </w:t>
            </w:r>
            <w:r w:rsidR="00B71A2B" w:rsidRPr="00E25906">
              <w:rPr>
                <w:rFonts w:asciiTheme="minorHAnsi" w:hAnsiTheme="minorHAnsi" w:cstheme="minorHAnsi"/>
                <w:iCs/>
                <w:lang w:val="lt-LT"/>
              </w:rPr>
              <w:t>kiti darbuotojo statusą patvirtinantys dokumentai.</w:t>
            </w:r>
          </w:p>
          <w:p w14:paraId="11F3B98D" w14:textId="77777777" w:rsidR="00A9371A" w:rsidRPr="00E25906" w:rsidRDefault="00A9371A" w:rsidP="004269F0">
            <w:pPr>
              <w:pStyle w:val="TableParagraph"/>
              <w:spacing w:line="230" w:lineRule="auto"/>
              <w:ind w:left="846" w:right="670" w:hanging="1"/>
              <w:jc w:val="both"/>
              <w:rPr>
                <w:rFonts w:asciiTheme="minorHAnsi" w:hAnsiTheme="minorHAnsi" w:cstheme="minorHAnsi"/>
                <w:lang w:val="lt-LT"/>
              </w:rPr>
            </w:pPr>
          </w:p>
          <w:p w14:paraId="3841991F" w14:textId="47297B18" w:rsidR="00F33434" w:rsidRPr="00E25906" w:rsidRDefault="00D371E6" w:rsidP="00661C33">
            <w:pPr>
              <w:pStyle w:val="TableParagraph"/>
              <w:numPr>
                <w:ilvl w:val="0"/>
                <w:numId w:val="34"/>
              </w:numPr>
              <w:spacing w:line="230" w:lineRule="auto"/>
              <w:ind w:left="846" w:right="670" w:hanging="1"/>
              <w:jc w:val="both"/>
              <w:rPr>
                <w:rFonts w:asciiTheme="minorHAnsi" w:hAnsiTheme="minorHAnsi" w:cstheme="minorHAnsi"/>
                <w:lang w:val="lt-LT"/>
              </w:rPr>
            </w:pPr>
            <w:r w:rsidRPr="00E25906">
              <w:rPr>
                <w:rFonts w:asciiTheme="minorHAnsi" w:hAnsiTheme="minorHAnsi" w:cstheme="minorHAnsi"/>
                <w:lang w:val="lt-LT"/>
              </w:rPr>
              <w:t xml:space="preserve">Jei mobilumo dalyvis neturi galimybės pateikti statusą įrodančių dokumentų, </w:t>
            </w:r>
            <w:r w:rsidR="008969FE" w:rsidRPr="00E25906">
              <w:rPr>
                <w:rFonts w:asciiTheme="minorHAnsi" w:hAnsiTheme="minorHAnsi" w:cstheme="minorHAnsi"/>
                <w:lang w:val="lt-LT"/>
              </w:rPr>
              <w:t>MSI</w:t>
            </w:r>
            <w:r w:rsidRPr="00E25906">
              <w:rPr>
                <w:rFonts w:asciiTheme="minorHAnsi" w:hAnsiTheme="minorHAnsi" w:cstheme="minorHAnsi"/>
                <w:lang w:val="lt-LT"/>
              </w:rPr>
              <w:t xml:space="preserve"> turi vadovautis </w:t>
            </w:r>
            <w:r w:rsidR="002C704E" w:rsidRPr="00E25906">
              <w:rPr>
                <w:rFonts w:asciiTheme="minorHAnsi" w:hAnsiTheme="minorHAnsi" w:cstheme="minorHAnsi"/>
                <w:lang w:val="lt-LT"/>
              </w:rPr>
              <w:t xml:space="preserve">institucijos </w:t>
            </w:r>
            <w:r w:rsidRPr="00E25906">
              <w:rPr>
                <w:rFonts w:asciiTheme="minorHAnsi" w:hAnsiTheme="minorHAnsi" w:cstheme="minorHAnsi"/>
                <w:lang w:val="lt-LT"/>
              </w:rPr>
              <w:t xml:space="preserve">vidine </w:t>
            </w:r>
            <w:r w:rsidR="002C704E" w:rsidRPr="00E25906">
              <w:rPr>
                <w:rFonts w:asciiTheme="minorHAnsi" w:hAnsiTheme="minorHAnsi" w:cstheme="minorHAnsi"/>
                <w:lang w:val="lt-LT"/>
              </w:rPr>
              <w:t xml:space="preserve">asmenų be dokumentacijos pripažinimo </w:t>
            </w:r>
            <w:r w:rsidRPr="00E25906">
              <w:rPr>
                <w:rFonts w:asciiTheme="minorHAnsi" w:hAnsiTheme="minorHAnsi" w:cstheme="minorHAnsi"/>
                <w:lang w:val="lt-LT"/>
              </w:rPr>
              <w:t xml:space="preserve">procedūra dėl kandidatų, neturinčių dokumentų, statuso pripažinimo, vadovaujantis </w:t>
            </w:r>
            <w:r w:rsidR="00304C8C" w:rsidRPr="00E25906">
              <w:rPr>
                <w:rFonts w:asciiTheme="minorHAnsi" w:hAnsiTheme="minorHAnsi" w:cstheme="minorHAnsi"/>
                <w:lang w:val="lt-LT"/>
              </w:rPr>
              <w:t xml:space="preserve">aktualiomis </w:t>
            </w:r>
            <w:r w:rsidRPr="00E25906">
              <w:rPr>
                <w:rFonts w:asciiTheme="minorHAnsi" w:hAnsiTheme="minorHAnsi" w:cstheme="minorHAnsi"/>
                <w:lang w:val="lt-LT"/>
              </w:rPr>
              <w:t xml:space="preserve">Studijų </w:t>
            </w:r>
            <w:r w:rsidR="00304C8C" w:rsidRPr="00E25906">
              <w:rPr>
                <w:rFonts w:asciiTheme="minorHAnsi" w:hAnsiTheme="minorHAnsi" w:cstheme="minorHAnsi"/>
                <w:lang w:val="lt-LT"/>
              </w:rPr>
              <w:t xml:space="preserve">kokybės </w:t>
            </w:r>
            <w:r w:rsidRPr="00E25906">
              <w:rPr>
                <w:rFonts w:asciiTheme="minorHAnsi" w:hAnsiTheme="minorHAnsi" w:cstheme="minorHAnsi"/>
                <w:lang w:val="lt-LT"/>
              </w:rPr>
              <w:t>vertinimo centro rekomendacijomis</w:t>
            </w:r>
            <w:r w:rsidR="00F33434" w:rsidRPr="00E25906">
              <w:rPr>
                <w:rFonts w:asciiTheme="minorHAnsi" w:hAnsiTheme="minorHAnsi" w:cstheme="minorHAnsi"/>
                <w:lang w:val="lt-LT"/>
              </w:rPr>
              <w:t xml:space="preserve">, skelbiamomis: </w:t>
            </w:r>
          </w:p>
          <w:p w14:paraId="0138D06D" w14:textId="2406AC88" w:rsidR="00CF7366" w:rsidRPr="00E25906" w:rsidRDefault="00897DFD" w:rsidP="008E1008">
            <w:pPr>
              <w:pStyle w:val="TableParagraph"/>
              <w:spacing w:line="230" w:lineRule="auto"/>
              <w:ind w:left="846" w:right="670"/>
              <w:rPr>
                <w:rFonts w:asciiTheme="minorHAnsi" w:hAnsiTheme="minorHAnsi" w:cstheme="minorHAnsi"/>
                <w:lang w:val="lt-LT"/>
              </w:rPr>
            </w:pPr>
            <w:hyperlink r:id="rId10" w:history="1">
              <w:r w:rsidR="00F33434" w:rsidRPr="00E25906">
                <w:rPr>
                  <w:rStyle w:val="Hyperlink"/>
                  <w:rFonts w:asciiTheme="minorHAnsi" w:hAnsiTheme="minorHAnsi" w:cstheme="minorHAnsi"/>
                  <w:lang w:val="lt-LT"/>
                </w:rPr>
                <w:t>https://www.skvc.lt/uploads/documents/files/Registruotiems_vartotojams/Leidiniai/Proceduros_be_dokumentu_aprasymas.pdf</w:t>
              </w:r>
            </w:hyperlink>
            <w:r w:rsidR="00F33434" w:rsidRPr="00E25906">
              <w:rPr>
                <w:rFonts w:asciiTheme="minorHAnsi" w:hAnsiTheme="minorHAnsi" w:cstheme="minorHAnsi"/>
                <w:lang w:val="lt-LT"/>
              </w:rPr>
              <w:t xml:space="preserve">; </w:t>
            </w:r>
            <w:bookmarkEnd w:id="1"/>
            <w:r w:rsidR="00F33434" w:rsidRPr="00E25906">
              <w:rPr>
                <w:rFonts w:cstheme="minorHAnsi"/>
                <w:lang w:val="lt-LT"/>
              </w:rPr>
              <w:fldChar w:fldCharType="begin"/>
            </w:r>
            <w:r w:rsidR="00F33434" w:rsidRPr="00E25906">
              <w:rPr>
                <w:rFonts w:cstheme="minorHAnsi"/>
                <w:lang w:val="lt-LT"/>
              </w:rPr>
              <w:instrText xml:space="preserve"> HYPERLINK "https://www.skvc.lt/default/lt/uzsienio-kvalifikaciju-pripazinimas/institucijoms/rekomendacijos" </w:instrText>
            </w:r>
            <w:r w:rsidR="00F33434" w:rsidRPr="00E25906">
              <w:rPr>
                <w:rFonts w:cstheme="minorHAnsi"/>
                <w:lang w:val="lt-LT"/>
              </w:rPr>
              <w:fldChar w:fldCharType="separate"/>
            </w:r>
            <w:r w:rsidR="00F33434" w:rsidRPr="00E25906">
              <w:rPr>
                <w:rStyle w:val="Hyperlink"/>
                <w:rFonts w:cstheme="minorHAnsi"/>
                <w:lang w:val="lt-LT"/>
              </w:rPr>
              <w:t>https://www.skvc.lt/default/lt/uzsienio-kvalifikaciju-pripazinimas/institucijoms/rekomendacijos</w:t>
            </w:r>
            <w:r w:rsidR="00F33434" w:rsidRPr="00E25906">
              <w:rPr>
                <w:rFonts w:cstheme="minorHAnsi"/>
                <w:lang w:val="lt-LT"/>
              </w:rPr>
              <w:fldChar w:fldCharType="end"/>
            </w:r>
            <w:r w:rsidR="00F33434" w:rsidRPr="00E25906">
              <w:rPr>
                <w:rFonts w:cstheme="minorHAnsi"/>
                <w:lang w:val="lt-LT"/>
              </w:rPr>
              <w:t>.</w:t>
            </w:r>
          </w:p>
          <w:p w14:paraId="6C0CC42C" w14:textId="77777777" w:rsidR="0016617F" w:rsidRPr="00E25906" w:rsidRDefault="0016617F" w:rsidP="004269F0">
            <w:pPr>
              <w:pStyle w:val="TableParagraph"/>
              <w:rPr>
                <w:rFonts w:asciiTheme="minorHAnsi" w:hAnsiTheme="minorHAnsi" w:cstheme="minorHAnsi"/>
                <w:b/>
                <w:lang w:val="lt-LT"/>
              </w:rPr>
            </w:pPr>
          </w:p>
          <w:p w14:paraId="40CECC56" w14:textId="77777777" w:rsidR="0016617F" w:rsidRPr="00E25906" w:rsidRDefault="0016617F" w:rsidP="004269F0">
            <w:pPr>
              <w:pStyle w:val="TableParagraph"/>
              <w:spacing w:before="1"/>
              <w:ind w:left="126"/>
              <w:rPr>
                <w:rFonts w:asciiTheme="minorHAnsi" w:hAnsiTheme="minorHAnsi" w:cstheme="minorHAnsi"/>
                <w:lang w:val="lt-LT"/>
              </w:rPr>
            </w:pPr>
            <w:r w:rsidRPr="00E25906">
              <w:rPr>
                <w:rFonts w:asciiTheme="minorHAnsi" w:hAnsiTheme="minorHAnsi" w:cstheme="minorHAnsi"/>
                <w:spacing w:val="-2"/>
                <w:u w:val="single"/>
                <w:lang w:val="lt-LT"/>
              </w:rPr>
              <w:t xml:space="preserve">Pasirengimas </w:t>
            </w:r>
          </w:p>
          <w:p w14:paraId="5881DEED" w14:textId="3E5D748C" w:rsidR="0016617F" w:rsidRPr="00E25906" w:rsidRDefault="000404BB" w:rsidP="0016617F">
            <w:pPr>
              <w:pStyle w:val="TableParagraph"/>
              <w:numPr>
                <w:ilvl w:val="0"/>
                <w:numId w:val="22"/>
              </w:numPr>
              <w:spacing w:line="272" w:lineRule="exact"/>
              <w:ind w:right="332"/>
              <w:jc w:val="both"/>
              <w:rPr>
                <w:rFonts w:asciiTheme="minorHAnsi" w:hAnsiTheme="minorHAnsi" w:cstheme="minorHAnsi"/>
                <w:lang w:val="lt-LT"/>
              </w:rPr>
            </w:pPr>
            <w:r w:rsidRPr="00E25906">
              <w:rPr>
                <w:rFonts w:asciiTheme="minorHAnsi" w:hAnsiTheme="minorHAnsi" w:cstheme="minorHAnsi"/>
                <w:lang w:val="lt-LT"/>
              </w:rPr>
              <w:t xml:space="preserve">Dotaciją </w:t>
            </w:r>
            <w:r w:rsidR="0016617F" w:rsidRPr="00E25906">
              <w:rPr>
                <w:rFonts w:asciiTheme="minorHAnsi" w:hAnsiTheme="minorHAnsi" w:cstheme="minorHAnsi"/>
                <w:lang w:val="lt-LT"/>
              </w:rPr>
              <w:t>gaunančiai ir (arba) priimančiai institucijai bus leidžiama savanoriškai perimti U</w:t>
            </w:r>
            <w:r w:rsidR="00C60EA5" w:rsidRPr="00E25906">
              <w:rPr>
                <w:rFonts w:asciiTheme="minorHAnsi" w:hAnsiTheme="minorHAnsi" w:cstheme="minorHAnsi"/>
                <w:lang w:val="lt-LT"/>
              </w:rPr>
              <w:t>krainos</w:t>
            </w:r>
            <w:r w:rsidR="0016617F" w:rsidRPr="00E25906">
              <w:rPr>
                <w:rFonts w:asciiTheme="minorHAnsi" w:hAnsiTheme="minorHAnsi" w:cstheme="minorHAnsi"/>
                <w:lang w:val="lt-LT"/>
              </w:rPr>
              <w:t xml:space="preserve"> siunčiančiosios organizacijos užduotis, susijusias su įvadinių ir (arba) parengiamųjų kursų siūlymu ir visa kita pagalba ir parama, kurią studentai turi teisę gauti pagal „Erasmus+“ studentų chartiją, kai bus įvertinta, kad U</w:t>
            </w:r>
            <w:r w:rsidR="00C60EA5" w:rsidRPr="00E25906">
              <w:rPr>
                <w:rFonts w:asciiTheme="minorHAnsi" w:hAnsiTheme="minorHAnsi" w:cstheme="minorHAnsi"/>
                <w:lang w:val="lt-LT"/>
              </w:rPr>
              <w:t>krainos</w:t>
            </w:r>
            <w:r w:rsidR="0016617F" w:rsidRPr="00E25906">
              <w:rPr>
                <w:rFonts w:asciiTheme="minorHAnsi" w:hAnsiTheme="minorHAnsi" w:cstheme="minorHAnsi"/>
                <w:lang w:val="lt-LT"/>
              </w:rPr>
              <w:t xml:space="preserve"> siunčiančioji institucija nepajėgi teikti tokių rekomendacijų ir paramos.</w:t>
            </w:r>
          </w:p>
          <w:p w14:paraId="09520238" w14:textId="1A781F19" w:rsidR="0016617F" w:rsidRPr="00E25906" w:rsidRDefault="000404BB" w:rsidP="0016617F">
            <w:pPr>
              <w:pStyle w:val="TableParagraph"/>
              <w:numPr>
                <w:ilvl w:val="0"/>
                <w:numId w:val="22"/>
              </w:numPr>
              <w:spacing w:line="272" w:lineRule="exact"/>
              <w:ind w:right="332"/>
              <w:jc w:val="both"/>
              <w:rPr>
                <w:rFonts w:asciiTheme="minorHAnsi" w:hAnsiTheme="minorHAnsi" w:cstheme="minorHAnsi"/>
                <w:lang w:val="lt-LT"/>
              </w:rPr>
            </w:pPr>
            <w:r w:rsidRPr="00E25906">
              <w:rPr>
                <w:rFonts w:asciiTheme="minorHAnsi" w:hAnsiTheme="minorHAnsi" w:cstheme="minorHAnsi"/>
                <w:lang w:val="lt-LT"/>
              </w:rPr>
              <w:t xml:space="preserve">Dotaciją </w:t>
            </w:r>
            <w:r w:rsidR="0016617F" w:rsidRPr="00E25906">
              <w:rPr>
                <w:rFonts w:asciiTheme="minorHAnsi" w:hAnsiTheme="minorHAnsi" w:cstheme="minorHAnsi"/>
                <w:lang w:val="lt-LT"/>
              </w:rPr>
              <w:t>gaunanti ir (arba) priimančioji institucija skatinama bendradarbiauti su studentų asociacijomis ir mobilumo tinklais, kad integruotų atvykstančius studentus.</w:t>
            </w:r>
          </w:p>
          <w:p w14:paraId="2A2BC2D6" w14:textId="1AF44363" w:rsidR="0016617F" w:rsidRDefault="0016617F" w:rsidP="004269F0">
            <w:pPr>
              <w:pStyle w:val="TableParagraph"/>
              <w:spacing w:before="9"/>
              <w:rPr>
                <w:rFonts w:asciiTheme="minorHAnsi" w:hAnsiTheme="minorHAnsi" w:cstheme="minorHAnsi"/>
                <w:b/>
                <w:lang w:val="lt-LT"/>
              </w:rPr>
            </w:pPr>
          </w:p>
          <w:p w14:paraId="27C9EDB4" w14:textId="77777777" w:rsidR="004450CC" w:rsidRPr="00E25906" w:rsidRDefault="004450CC" w:rsidP="004269F0">
            <w:pPr>
              <w:pStyle w:val="TableParagraph"/>
              <w:spacing w:before="9"/>
              <w:rPr>
                <w:rFonts w:asciiTheme="minorHAnsi" w:hAnsiTheme="minorHAnsi" w:cstheme="minorHAnsi"/>
                <w:b/>
                <w:lang w:val="lt-LT"/>
              </w:rPr>
            </w:pPr>
          </w:p>
          <w:p w14:paraId="6BDE50D3" w14:textId="77777777" w:rsidR="0016617F" w:rsidRPr="00E25906" w:rsidRDefault="0016617F" w:rsidP="004269F0">
            <w:pPr>
              <w:pStyle w:val="TableParagraph"/>
              <w:spacing w:line="280" w:lineRule="exact"/>
              <w:ind w:left="126"/>
              <w:rPr>
                <w:rFonts w:asciiTheme="minorHAnsi" w:hAnsiTheme="minorHAnsi" w:cstheme="minorHAnsi"/>
                <w:lang w:val="lt-LT"/>
              </w:rPr>
            </w:pPr>
            <w:r w:rsidRPr="00E25906">
              <w:rPr>
                <w:rFonts w:asciiTheme="minorHAnsi" w:hAnsiTheme="minorHAnsi" w:cstheme="minorHAnsi"/>
                <w:spacing w:val="-2"/>
                <w:u w:val="single" w:color="0C0C0C"/>
                <w:lang w:val="lt-LT"/>
              </w:rPr>
              <w:lastRenderedPageBreak/>
              <w:t>Finansavimas</w:t>
            </w:r>
          </w:p>
          <w:p w14:paraId="4ACF9AA0" w14:textId="78C07EB7" w:rsidR="0016617F" w:rsidRPr="00E25906" w:rsidRDefault="00997618" w:rsidP="0016617F">
            <w:pPr>
              <w:pStyle w:val="TableParagraph"/>
              <w:numPr>
                <w:ilvl w:val="0"/>
                <w:numId w:val="22"/>
              </w:numPr>
              <w:spacing w:line="272" w:lineRule="exact"/>
              <w:ind w:right="332"/>
              <w:jc w:val="both"/>
              <w:rPr>
                <w:rFonts w:asciiTheme="minorHAnsi" w:hAnsiTheme="minorHAnsi" w:cstheme="minorHAnsi"/>
                <w:lang w:val="lt-LT"/>
              </w:rPr>
            </w:pPr>
            <w:r w:rsidRPr="00E25906">
              <w:rPr>
                <w:rFonts w:asciiTheme="minorHAnsi" w:hAnsiTheme="minorHAnsi" w:cstheme="minorHAnsi"/>
                <w:lang w:val="lt-LT"/>
              </w:rPr>
              <w:t xml:space="preserve">Dotaciją </w:t>
            </w:r>
            <w:r w:rsidR="0016617F" w:rsidRPr="00E25906">
              <w:rPr>
                <w:rFonts w:asciiTheme="minorHAnsi" w:hAnsiTheme="minorHAnsi" w:cstheme="minorHAnsi"/>
                <w:lang w:val="lt-LT"/>
              </w:rPr>
              <w:t xml:space="preserve">gaunanti ir (arba) priimančioji </w:t>
            </w:r>
            <w:r w:rsidR="008969FE" w:rsidRPr="00E25906">
              <w:rPr>
                <w:rFonts w:asciiTheme="minorHAnsi" w:hAnsiTheme="minorHAnsi" w:cstheme="minorHAnsi"/>
                <w:lang w:val="lt-LT"/>
              </w:rPr>
              <w:t>MSI</w:t>
            </w:r>
            <w:r w:rsidR="0016617F" w:rsidRPr="00E25906">
              <w:rPr>
                <w:rFonts w:asciiTheme="minorHAnsi" w:hAnsiTheme="minorHAnsi" w:cstheme="minorHAnsi"/>
                <w:lang w:val="lt-LT"/>
              </w:rPr>
              <w:t xml:space="preserve"> skiria dalyviams lėšas iš KA131 projekto dotacijos pagal KA171 atvykstančiųjų mobilumo įkainius Ukrainoje:</w:t>
            </w:r>
          </w:p>
          <w:p w14:paraId="196BBC3A" w14:textId="442080EF" w:rsidR="0016617F" w:rsidRPr="00E25906" w:rsidRDefault="0016617F" w:rsidP="004269F0">
            <w:pPr>
              <w:pStyle w:val="TableParagraph"/>
              <w:tabs>
                <w:tab w:val="left" w:pos="845"/>
                <w:tab w:val="left" w:pos="846"/>
              </w:tabs>
              <w:spacing w:before="6" w:line="232" w:lineRule="auto"/>
              <w:ind w:left="844" w:right="460"/>
              <w:rPr>
                <w:rFonts w:asciiTheme="minorHAnsi" w:hAnsiTheme="minorHAnsi" w:cstheme="minorHAnsi"/>
                <w:lang w:val="lt-LT"/>
              </w:rPr>
            </w:pPr>
            <w:r w:rsidRPr="00E25906">
              <w:rPr>
                <w:rFonts w:asciiTheme="minorHAnsi" w:hAnsiTheme="minorHAnsi" w:cstheme="minorHAnsi"/>
                <w:lang w:val="lt-LT"/>
              </w:rPr>
              <w:t xml:space="preserve">o Visi studentai ir neseniai </w:t>
            </w:r>
            <w:r w:rsidR="00E50BA9" w:rsidRPr="00E25906">
              <w:rPr>
                <w:rFonts w:asciiTheme="minorHAnsi" w:hAnsiTheme="minorHAnsi" w:cstheme="minorHAnsi"/>
                <w:lang w:val="lt-LT"/>
              </w:rPr>
              <w:t xml:space="preserve">mokslus baigę absolventai </w:t>
            </w:r>
            <w:r w:rsidRPr="00E25906">
              <w:rPr>
                <w:rFonts w:asciiTheme="minorHAnsi" w:hAnsiTheme="minorHAnsi" w:cstheme="minorHAnsi"/>
                <w:lang w:val="lt-LT"/>
              </w:rPr>
              <w:t>bus tinkami gauti individualios paramos papildomą sumą</w:t>
            </w:r>
            <w:r w:rsidR="005F3135" w:rsidRPr="00E25906">
              <w:rPr>
                <w:rFonts w:asciiTheme="minorHAnsi" w:hAnsiTheme="minorHAnsi" w:cstheme="minorHAnsi"/>
                <w:lang w:val="lt-LT"/>
              </w:rPr>
              <w:t xml:space="preserve"> (</w:t>
            </w:r>
            <w:proofErr w:type="spellStart"/>
            <w:r w:rsidR="005F3135" w:rsidRPr="00E25906">
              <w:rPr>
                <w:rFonts w:asciiTheme="minorHAnsi" w:hAnsiTheme="minorHAnsi" w:cstheme="minorHAnsi"/>
                <w:lang w:val="lt-LT"/>
              </w:rPr>
              <w:t>top-up</w:t>
            </w:r>
            <w:proofErr w:type="spellEnd"/>
            <w:r w:rsidR="005F3135" w:rsidRPr="00E25906">
              <w:rPr>
                <w:rFonts w:asciiTheme="minorHAnsi" w:hAnsiTheme="minorHAnsi" w:cstheme="minorHAnsi"/>
                <w:lang w:val="lt-LT"/>
              </w:rPr>
              <w:t>) kaip ma</w:t>
            </w:r>
            <w:r w:rsidR="00717A94" w:rsidRPr="00E25906">
              <w:rPr>
                <w:rFonts w:asciiTheme="minorHAnsi" w:hAnsiTheme="minorHAnsi" w:cstheme="minorHAnsi"/>
                <w:lang w:val="lt-LT"/>
              </w:rPr>
              <w:t>žiau galimybių turintys dalyviai.</w:t>
            </w:r>
            <w:r w:rsidRPr="00E25906">
              <w:rPr>
                <w:rFonts w:asciiTheme="minorHAnsi" w:hAnsiTheme="minorHAnsi" w:cstheme="minorHAnsi"/>
                <w:lang w:val="lt-LT"/>
              </w:rPr>
              <w:t xml:space="preserve"> </w:t>
            </w:r>
          </w:p>
          <w:p w14:paraId="027703C1" w14:textId="6F4EC84B" w:rsidR="00AE6528" w:rsidRPr="00E25906" w:rsidRDefault="0016617F" w:rsidP="00AE6528">
            <w:pPr>
              <w:rPr>
                <w:lang w:val="lt-LT"/>
              </w:rPr>
            </w:pPr>
            <w:r w:rsidRPr="00E25906">
              <w:rPr>
                <w:rFonts w:cstheme="minorHAnsi"/>
                <w:lang w:val="lt-LT"/>
              </w:rPr>
              <w:t>o Jei aktualu, dalyviai gali gauti</w:t>
            </w:r>
            <w:r w:rsidR="00CA51D2" w:rsidRPr="00E25906">
              <w:rPr>
                <w:rFonts w:cstheme="minorHAnsi"/>
                <w:lang w:val="lt-LT"/>
              </w:rPr>
              <w:t xml:space="preserve"> p</w:t>
            </w:r>
            <w:r w:rsidR="00254711" w:rsidRPr="00E25906">
              <w:rPr>
                <w:lang w:val="lt-LT"/>
              </w:rPr>
              <w:t>apildom</w:t>
            </w:r>
            <w:r w:rsidR="00314D2B" w:rsidRPr="00E25906">
              <w:rPr>
                <w:lang w:val="lt-LT"/>
              </w:rPr>
              <w:t>ą</w:t>
            </w:r>
            <w:r w:rsidR="00254711" w:rsidRPr="00E25906">
              <w:rPr>
                <w:lang w:val="lt-LT"/>
              </w:rPr>
              <w:t xml:space="preserve"> individuali</w:t>
            </w:r>
            <w:r w:rsidR="00314D2B" w:rsidRPr="00E25906">
              <w:rPr>
                <w:lang w:val="lt-LT"/>
              </w:rPr>
              <w:t>ą</w:t>
            </w:r>
            <w:r w:rsidR="00254711" w:rsidRPr="00E25906">
              <w:rPr>
                <w:lang w:val="lt-LT"/>
              </w:rPr>
              <w:t xml:space="preserve"> dotacij</w:t>
            </w:r>
            <w:r w:rsidR="00314D2B" w:rsidRPr="00E25906">
              <w:rPr>
                <w:lang w:val="lt-LT"/>
              </w:rPr>
              <w:t>ą</w:t>
            </w:r>
            <w:r w:rsidR="00254711" w:rsidRPr="00E25906">
              <w:rPr>
                <w:lang w:val="lt-LT"/>
              </w:rPr>
              <w:t xml:space="preserve"> mažiau galimybių turintiems dalyviams, turintiems fizinę, protinę ar kitą negalią</w:t>
            </w:r>
            <w:r w:rsidR="00AE6528" w:rsidRPr="00E25906">
              <w:rPr>
                <w:lang w:val="lt-LT"/>
              </w:rPr>
              <w:t xml:space="preserve"> ir papildomą paramą kelionei.</w:t>
            </w:r>
          </w:p>
          <w:p w14:paraId="63219105" w14:textId="77777777" w:rsidR="0016617F" w:rsidRPr="00E25906" w:rsidRDefault="0016617F" w:rsidP="0016617F">
            <w:pPr>
              <w:pStyle w:val="TableParagraph"/>
              <w:numPr>
                <w:ilvl w:val="0"/>
                <w:numId w:val="20"/>
              </w:numPr>
              <w:tabs>
                <w:tab w:val="left" w:pos="1562"/>
                <w:tab w:val="left" w:pos="1563"/>
              </w:tabs>
              <w:spacing w:line="265" w:lineRule="exact"/>
              <w:ind w:hanging="352"/>
              <w:rPr>
                <w:rFonts w:asciiTheme="minorHAnsi" w:hAnsiTheme="minorHAnsi" w:cstheme="minorHAnsi"/>
                <w:lang w:val="lt-LT"/>
              </w:rPr>
            </w:pPr>
            <w:r w:rsidRPr="00E25906">
              <w:rPr>
                <w:rFonts w:asciiTheme="minorHAnsi" w:hAnsiTheme="minorHAnsi" w:cstheme="minorHAnsi"/>
                <w:spacing w:val="-2"/>
                <w:lang w:val="lt-LT"/>
              </w:rPr>
              <w:t>Studentams</w:t>
            </w:r>
            <w:r w:rsidRPr="00E25906">
              <w:rPr>
                <w:rFonts w:asciiTheme="minorHAnsi" w:hAnsiTheme="minorHAnsi" w:cstheme="minorHAnsi"/>
                <w:lang w:val="lt-LT"/>
              </w:rPr>
              <w:t>:</w:t>
            </w:r>
          </w:p>
          <w:p w14:paraId="7AD0FDF3" w14:textId="77777777" w:rsidR="0016617F" w:rsidRPr="00E25906" w:rsidRDefault="0016617F" w:rsidP="0016617F">
            <w:pPr>
              <w:pStyle w:val="TableParagraph"/>
              <w:numPr>
                <w:ilvl w:val="0"/>
                <w:numId w:val="21"/>
              </w:numPr>
              <w:tabs>
                <w:tab w:val="left" w:pos="2282"/>
                <w:tab w:val="left" w:pos="2283"/>
              </w:tabs>
              <w:spacing w:line="230" w:lineRule="auto"/>
              <w:ind w:right="514" w:hanging="362"/>
              <w:rPr>
                <w:rFonts w:asciiTheme="minorHAnsi" w:hAnsiTheme="minorHAnsi" w:cstheme="minorHAnsi"/>
                <w:lang w:val="lt-LT"/>
              </w:rPr>
            </w:pPr>
            <w:r w:rsidRPr="00E25906">
              <w:rPr>
                <w:rFonts w:asciiTheme="minorHAnsi" w:hAnsiTheme="minorHAnsi" w:cstheme="minorHAnsi"/>
                <w:lang w:val="lt-LT"/>
              </w:rPr>
              <w:t xml:space="preserve">Jei priimančioji šalis priklauso 1 šalių grupei, individuali parama yra </w:t>
            </w:r>
            <w:r w:rsidR="00BA051B" w:rsidRPr="00E25906">
              <w:rPr>
                <w:rFonts w:asciiTheme="minorHAnsi" w:hAnsiTheme="minorHAnsi" w:cstheme="minorHAnsi"/>
                <w:lang w:val="lt-LT"/>
              </w:rPr>
              <w:t>1</w:t>
            </w:r>
            <w:r w:rsidR="0040375E" w:rsidRPr="00E25906">
              <w:rPr>
                <w:rFonts w:asciiTheme="minorHAnsi" w:hAnsiTheme="minorHAnsi" w:cstheme="minorHAnsi"/>
                <w:lang w:val="lt-LT"/>
              </w:rPr>
              <w:t>1</w:t>
            </w:r>
            <w:r w:rsidR="00BA051B" w:rsidRPr="00E25906">
              <w:rPr>
                <w:rFonts w:asciiTheme="minorHAnsi" w:hAnsiTheme="minorHAnsi" w:cstheme="minorHAnsi"/>
                <w:lang w:val="lt-LT"/>
              </w:rPr>
              <w:t xml:space="preserve">50 </w:t>
            </w:r>
            <w:r w:rsidRPr="00E25906">
              <w:rPr>
                <w:rFonts w:asciiTheme="minorHAnsi" w:hAnsiTheme="minorHAnsi" w:cstheme="minorHAnsi"/>
                <w:lang w:val="lt-LT"/>
              </w:rPr>
              <w:t>EUR per mėnesį (</w:t>
            </w:r>
            <w:r w:rsidR="0040375E" w:rsidRPr="00E25906">
              <w:rPr>
                <w:rFonts w:asciiTheme="minorHAnsi" w:hAnsiTheme="minorHAnsi" w:cstheme="minorHAnsi"/>
                <w:lang w:val="lt-LT"/>
              </w:rPr>
              <w:t>9</w:t>
            </w:r>
            <w:r w:rsidR="00BA051B" w:rsidRPr="00E25906">
              <w:rPr>
                <w:rFonts w:asciiTheme="minorHAnsi" w:hAnsiTheme="minorHAnsi" w:cstheme="minorHAnsi"/>
                <w:lang w:val="lt-LT"/>
              </w:rPr>
              <w:t xml:space="preserve">00 </w:t>
            </w:r>
            <w:r w:rsidRPr="00E25906">
              <w:rPr>
                <w:rFonts w:asciiTheme="minorHAnsi" w:hAnsiTheme="minorHAnsi" w:cstheme="minorHAnsi"/>
                <w:lang w:val="lt-LT"/>
              </w:rPr>
              <w:t>EUR bazinė suma + 250 EUR papildoma suma už mažiau galimybių</w:t>
            </w:r>
            <w:r w:rsidR="00360C35" w:rsidRPr="00E25906">
              <w:rPr>
                <w:rFonts w:asciiTheme="minorHAnsi" w:hAnsiTheme="minorHAnsi" w:cstheme="minorHAnsi"/>
                <w:lang w:val="lt-LT"/>
              </w:rPr>
              <w:t xml:space="preserve"> turinčius dalyvius</w:t>
            </w:r>
            <w:r w:rsidRPr="00E25906">
              <w:rPr>
                <w:rFonts w:asciiTheme="minorHAnsi" w:hAnsiTheme="minorHAnsi" w:cstheme="minorHAnsi"/>
                <w:lang w:val="lt-LT"/>
              </w:rPr>
              <w:t>),</w:t>
            </w:r>
          </w:p>
          <w:p w14:paraId="5054D362" w14:textId="77777777" w:rsidR="00137616" w:rsidRPr="00E25906" w:rsidRDefault="00137616" w:rsidP="00137616">
            <w:pPr>
              <w:pStyle w:val="TableParagraph"/>
              <w:numPr>
                <w:ilvl w:val="0"/>
                <w:numId w:val="21"/>
              </w:numPr>
              <w:tabs>
                <w:tab w:val="left" w:pos="2282"/>
                <w:tab w:val="left" w:pos="2283"/>
              </w:tabs>
              <w:spacing w:line="230" w:lineRule="auto"/>
              <w:ind w:right="514" w:hanging="362"/>
              <w:rPr>
                <w:rFonts w:asciiTheme="minorHAnsi" w:hAnsiTheme="minorHAnsi" w:cstheme="minorHAnsi"/>
                <w:lang w:val="lt-LT"/>
              </w:rPr>
            </w:pPr>
            <w:r w:rsidRPr="00E25906">
              <w:rPr>
                <w:rFonts w:asciiTheme="minorHAnsi" w:hAnsiTheme="minorHAnsi" w:cstheme="minorHAnsi"/>
                <w:lang w:val="lt-LT"/>
              </w:rPr>
              <w:t xml:space="preserve">Jei priimančioji šalis priklauso </w:t>
            </w:r>
            <w:r w:rsidRPr="00E25906">
              <w:rPr>
                <w:rFonts w:asciiTheme="minorHAnsi" w:hAnsiTheme="minorHAnsi" w:cstheme="minorHAnsi"/>
                <w:w w:val="95"/>
                <w:lang w:val="lt-LT"/>
              </w:rPr>
              <w:t>2</w:t>
            </w:r>
            <w:r w:rsidRPr="00E25906">
              <w:rPr>
                <w:rFonts w:asciiTheme="minorHAnsi" w:hAnsiTheme="minorHAnsi" w:cstheme="minorHAnsi"/>
                <w:lang w:val="lt-LT"/>
              </w:rPr>
              <w:t xml:space="preserve"> šalių grupei, individuali parama yra </w:t>
            </w:r>
            <w:r w:rsidRPr="00E25906">
              <w:rPr>
                <w:rFonts w:asciiTheme="minorHAnsi" w:hAnsiTheme="minorHAnsi" w:cstheme="minorHAnsi"/>
                <w:w w:val="95"/>
                <w:lang w:val="lt-LT"/>
              </w:rPr>
              <w:t>1100</w:t>
            </w:r>
            <w:r w:rsidRPr="00E25906">
              <w:rPr>
                <w:rFonts w:asciiTheme="minorHAnsi" w:hAnsiTheme="minorHAnsi" w:cstheme="minorHAnsi"/>
                <w:spacing w:val="-2"/>
                <w:w w:val="95"/>
                <w:lang w:val="lt-LT"/>
              </w:rPr>
              <w:t xml:space="preserve"> </w:t>
            </w:r>
            <w:r w:rsidRPr="00E25906">
              <w:rPr>
                <w:rFonts w:asciiTheme="minorHAnsi" w:hAnsiTheme="minorHAnsi" w:cstheme="minorHAnsi"/>
                <w:lang w:val="lt-LT"/>
              </w:rPr>
              <w:t>EUR per mėnesį (</w:t>
            </w:r>
            <w:r w:rsidRPr="00E25906">
              <w:rPr>
                <w:rFonts w:asciiTheme="minorHAnsi" w:hAnsiTheme="minorHAnsi" w:cstheme="minorHAnsi"/>
                <w:w w:val="95"/>
                <w:lang w:val="lt-LT"/>
              </w:rPr>
              <w:t>850</w:t>
            </w:r>
            <w:r w:rsidRPr="00E25906">
              <w:rPr>
                <w:rFonts w:asciiTheme="minorHAnsi" w:hAnsiTheme="minorHAnsi" w:cstheme="minorHAnsi"/>
                <w:spacing w:val="-6"/>
                <w:w w:val="95"/>
                <w:lang w:val="lt-LT"/>
              </w:rPr>
              <w:t xml:space="preserve"> </w:t>
            </w:r>
            <w:r w:rsidRPr="00E25906">
              <w:rPr>
                <w:rFonts w:asciiTheme="minorHAnsi" w:hAnsiTheme="minorHAnsi" w:cstheme="minorHAnsi"/>
                <w:lang w:val="lt-LT"/>
              </w:rPr>
              <w:t>EUR bazinė suma + 250 EUR papildoma suma už mažiau galimybių turinčius dalyvius),</w:t>
            </w:r>
          </w:p>
          <w:p w14:paraId="613E3935" w14:textId="77777777" w:rsidR="00137616" w:rsidRPr="00E25906" w:rsidRDefault="00137616" w:rsidP="00137616">
            <w:pPr>
              <w:pStyle w:val="TableParagraph"/>
              <w:numPr>
                <w:ilvl w:val="0"/>
                <w:numId w:val="21"/>
              </w:numPr>
              <w:tabs>
                <w:tab w:val="left" w:pos="2282"/>
                <w:tab w:val="left" w:pos="2283"/>
              </w:tabs>
              <w:spacing w:line="230" w:lineRule="auto"/>
              <w:ind w:right="514"/>
              <w:rPr>
                <w:rFonts w:asciiTheme="minorHAnsi" w:hAnsiTheme="minorHAnsi" w:cstheme="minorHAnsi"/>
                <w:b/>
                <w:lang w:val="lt-LT"/>
              </w:rPr>
            </w:pPr>
            <w:r w:rsidRPr="00E25906">
              <w:rPr>
                <w:rFonts w:asciiTheme="minorHAnsi" w:hAnsiTheme="minorHAnsi" w:cstheme="minorHAnsi"/>
                <w:b/>
                <w:lang w:val="lt-LT"/>
              </w:rPr>
              <w:t xml:space="preserve">Jei priimančioji šalis priklauso 3 šalių grupei, individuali parama yra 1050 EUR per mėnesį (800 EUR bazinė suma + 250 EUR papildoma suma už mažiau galimybių turinčius dalyvius). </w:t>
            </w:r>
            <w:r w:rsidRPr="00E25906">
              <w:rPr>
                <w:rFonts w:asciiTheme="minorHAnsi" w:hAnsiTheme="minorHAnsi" w:cstheme="minorHAnsi"/>
                <w:b/>
                <w:color w:val="00B050"/>
                <w:lang w:val="lt-LT"/>
              </w:rPr>
              <w:t xml:space="preserve">(Lietuvai taikoma norma). </w:t>
            </w:r>
          </w:p>
          <w:p w14:paraId="2B258198" w14:textId="77777777" w:rsidR="00137616" w:rsidRPr="00E25906" w:rsidRDefault="00137616" w:rsidP="00137616">
            <w:pPr>
              <w:pStyle w:val="TableParagraph"/>
              <w:numPr>
                <w:ilvl w:val="0"/>
                <w:numId w:val="20"/>
              </w:numPr>
              <w:tabs>
                <w:tab w:val="left" w:pos="1562"/>
                <w:tab w:val="left" w:pos="1563"/>
              </w:tabs>
              <w:spacing w:line="265" w:lineRule="exact"/>
              <w:ind w:hanging="352"/>
              <w:rPr>
                <w:rFonts w:asciiTheme="minorHAnsi" w:hAnsiTheme="minorHAnsi" w:cstheme="minorHAnsi"/>
                <w:lang w:val="lt-LT"/>
              </w:rPr>
            </w:pPr>
            <w:r w:rsidRPr="00E25906">
              <w:rPr>
                <w:rFonts w:asciiTheme="minorHAnsi" w:hAnsiTheme="minorHAnsi" w:cstheme="minorHAnsi"/>
                <w:spacing w:val="-2"/>
                <w:lang w:val="lt-LT"/>
              </w:rPr>
              <w:t>Darbuotojams</w:t>
            </w:r>
            <w:r w:rsidRPr="00E25906">
              <w:rPr>
                <w:rFonts w:asciiTheme="minorHAnsi" w:hAnsiTheme="minorHAnsi" w:cstheme="minorHAnsi"/>
                <w:lang w:val="lt-LT"/>
              </w:rPr>
              <w:t>:</w:t>
            </w:r>
          </w:p>
          <w:p w14:paraId="58E967CE" w14:textId="77777777" w:rsidR="00137616" w:rsidRPr="00E25906" w:rsidRDefault="00137616" w:rsidP="00137616">
            <w:pPr>
              <w:pStyle w:val="TableParagraph"/>
              <w:numPr>
                <w:ilvl w:val="0"/>
                <w:numId w:val="21"/>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Jei priimančioji šalis priklauso 1 šalių grupei, individuali parama yra 180 EUR per dieną,</w:t>
            </w:r>
          </w:p>
          <w:p w14:paraId="0D401D89" w14:textId="77777777" w:rsidR="00137616" w:rsidRPr="00E25906" w:rsidRDefault="00137616" w:rsidP="00137616">
            <w:pPr>
              <w:pStyle w:val="TableParagraph"/>
              <w:numPr>
                <w:ilvl w:val="0"/>
                <w:numId w:val="21"/>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Jei priimančioji šalis priklauso 2 šalių grupei, individuali parama yra 160 EUR per dieną,</w:t>
            </w:r>
          </w:p>
          <w:p w14:paraId="6FB9C01F" w14:textId="77777777" w:rsidR="00137616" w:rsidRPr="00E25906" w:rsidRDefault="00137616" w:rsidP="00137616">
            <w:pPr>
              <w:pStyle w:val="TableParagraph"/>
              <w:numPr>
                <w:ilvl w:val="0"/>
                <w:numId w:val="21"/>
              </w:numPr>
              <w:tabs>
                <w:tab w:val="left" w:pos="2282"/>
                <w:tab w:val="left" w:pos="2283"/>
              </w:tabs>
              <w:spacing w:line="230" w:lineRule="auto"/>
              <w:ind w:right="514"/>
              <w:rPr>
                <w:rFonts w:asciiTheme="minorHAnsi" w:hAnsiTheme="minorHAnsi" w:cstheme="minorHAnsi"/>
                <w:b/>
                <w:lang w:val="lt-LT"/>
              </w:rPr>
            </w:pPr>
            <w:r w:rsidRPr="00E25906">
              <w:rPr>
                <w:rFonts w:asciiTheme="minorHAnsi" w:hAnsiTheme="minorHAnsi" w:cstheme="minorHAnsi"/>
                <w:b/>
                <w:lang w:val="lt-LT"/>
              </w:rPr>
              <w:t>Jei priimančioji šalis priklauso 3 šalių grupei, individuali parama yra 140 EUR per dieną.</w:t>
            </w:r>
            <w:r w:rsidRPr="00E25906">
              <w:rPr>
                <w:rFonts w:asciiTheme="minorHAnsi" w:hAnsiTheme="minorHAnsi" w:cstheme="minorHAnsi"/>
                <w:b/>
                <w:color w:val="00B050"/>
                <w:lang w:val="lt-LT"/>
              </w:rPr>
              <w:t xml:space="preserve"> (Lietuvai taikoma norma). </w:t>
            </w:r>
          </w:p>
          <w:p w14:paraId="19C55711" w14:textId="440C5DAC" w:rsidR="00137616" w:rsidRPr="00E25906" w:rsidRDefault="00137616" w:rsidP="00137616">
            <w:pPr>
              <w:pStyle w:val="TableParagraph"/>
              <w:numPr>
                <w:ilvl w:val="0"/>
                <w:numId w:val="21"/>
              </w:numPr>
              <w:tabs>
                <w:tab w:val="left" w:pos="2282"/>
                <w:tab w:val="left" w:pos="2283"/>
              </w:tabs>
              <w:spacing w:line="230" w:lineRule="auto"/>
              <w:ind w:right="514" w:hanging="362"/>
              <w:rPr>
                <w:rFonts w:asciiTheme="minorHAnsi" w:hAnsiTheme="minorHAnsi" w:cstheme="minorHAnsi"/>
                <w:lang w:val="lt-LT"/>
              </w:rPr>
            </w:pPr>
            <w:r w:rsidRPr="00E25906">
              <w:rPr>
                <w:rFonts w:asciiTheme="minorHAnsi" w:hAnsiTheme="minorHAnsi" w:cstheme="minorHAnsi"/>
                <w:lang w:val="lt-LT"/>
              </w:rPr>
              <w:t xml:space="preserve">Atvykstantis dalyvis pasirašo pakeistą dotacijos sutartį su dotaciją gaunančia ir (arba) priimančia institucija, kai siunčiančioji institucija </w:t>
            </w:r>
            <w:r w:rsidRPr="00E25906">
              <w:rPr>
                <w:rFonts w:asciiTheme="minorHAnsi" w:hAnsiTheme="minorHAnsi" w:cstheme="minorHAnsi"/>
                <w:color w:val="000000" w:themeColor="text1"/>
                <w:lang w:val="lt-LT"/>
              </w:rPr>
              <w:t>negali prisiimti savo atsakomybių.</w:t>
            </w:r>
          </w:p>
        </w:tc>
      </w:tr>
    </w:tbl>
    <w:p w14:paraId="0C77A4D7" w14:textId="77777777" w:rsidR="0016617F" w:rsidRPr="00E25906" w:rsidRDefault="0016617F" w:rsidP="0016617F">
      <w:pPr>
        <w:spacing w:line="270" w:lineRule="exact"/>
        <w:rPr>
          <w:rFonts w:cstheme="minorHAnsi"/>
        </w:rPr>
        <w:sectPr w:rsidR="0016617F" w:rsidRPr="00E25906">
          <w:headerReference w:type="default" r:id="rId11"/>
          <w:footerReference w:type="default" r:id="rId12"/>
          <w:pgSz w:w="16840" w:h="11900" w:orient="landscape"/>
          <w:pgMar w:top="1100" w:right="300" w:bottom="280" w:left="1200" w:header="567" w:footer="567" w:gutter="0"/>
          <w:cols w:space="1296"/>
        </w:sectPr>
      </w:pPr>
    </w:p>
    <w:tbl>
      <w:tblPr>
        <w:tblStyle w:val="TableNormal1"/>
        <w:tblW w:w="14459" w:type="dxa"/>
        <w:tblInd w:w="-15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410"/>
        <w:gridCol w:w="7797"/>
        <w:gridCol w:w="4252"/>
      </w:tblGrid>
      <w:tr w:rsidR="00B93980" w:rsidRPr="00E25906" w14:paraId="6A344B27" w14:textId="77777777" w:rsidTr="008A6B7B">
        <w:trPr>
          <w:trHeight w:val="6392"/>
        </w:trPr>
        <w:tc>
          <w:tcPr>
            <w:tcW w:w="2410" w:type="dxa"/>
          </w:tcPr>
          <w:p w14:paraId="0CC1C1F7" w14:textId="77777777" w:rsidR="00B93980" w:rsidRPr="004450CC" w:rsidRDefault="00B93980" w:rsidP="004714B4">
            <w:pPr>
              <w:pStyle w:val="TableParagraph"/>
              <w:spacing w:line="245" w:lineRule="exact"/>
              <w:rPr>
                <w:rFonts w:asciiTheme="minorHAnsi" w:hAnsiTheme="minorHAnsi" w:cstheme="minorHAnsi"/>
                <w:b/>
                <w:spacing w:val="-2"/>
                <w:lang w:val="lt-LT"/>
              </w:rPr>
            </w:pPr>
            <w:r w:rsidRPr="004450CC">
              <w:rPr>
                <w:rFonts w:asciiTheme="minorHAnsi" w:hAnsiTheme="minorHAnsi" w:cstheme="minorHAnsi"/>
                <w:b/>
                <w:spacing w:val="-2"/>
                <w:lang w:val="lt-LT"/>
              </w:rPr>
              <w:lastRenderedPageBreak/>
              <w:t xml:space="preserve">KA107 </w:t>
            </w:r>
          </w:p>
          <w:p w14:paraId="4DC2AF63" w14:textId="1A75D98A" w:rsidR="00B93980" w:rsidRPr="00E25906" w:rsidRDefault="00B93980" w:rsidP="00B93980">
            <w:pPr>
              <w:pStyle w:val="TableParagraph"/>
              <w:rPr>
                <w:rFonts w:asciiTheme="minorHAnsi" w:hAnsiTheme="minorHAnsi" w:cstheme="minorHAnsi"/>
                <w:lang w:val="lt-LT"/>
              </w:rPr>
            </w:pPr>
            <w:r w:rsidRPr="004450CC">
              <w:rPr>
                <w:rFonts w:asciiTheme="minorHAnsi" w:hAnsiTheme="minorHAnsi" w:cstheme="minorHAnsi"/>
                <w:b/>
                <w:spacing w:val="-2"/>
                <w:lang w:val="lt-LT"/>
              </w:rPr>
              <w:t>Aukštojo mokslo studentų ir darbuotojų  tarptautinis mobilumas</w:t>
            </w:r>
          </w:p>
        </w:tc>
        <w:tc>
          <w:tcPr>
            <w:tcW w:w="7797" w:type="dxa"/>
          </w:tcPr>
          <w:p w14:paraId="40DD8C64" w14:textId="4D16F26F" w:rsidR="00B93980" w:rsidRPr="00E25906" w:rsidRDefault="00B93980" w:rsidP="00B93980">
            <w:pPr>
              <w:pStyle w:val="TableParagraph"/>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 </w:t>
            </w:r>
          </w:p>
          <w:p w14:paraId="68948C78" w14:textId="6EBAD33B" w:rsidR="00B93980" w:rsidRPr="00E25906" w:rsidRDefault="004F381E" w:rsidP="00B93980">
            <w:pPr>
              <w:pStyle w:val="TableParagraph"/>
              <w:tabs>
                <w:tab w:val="left" w:pos="2282"/>
                <w:tab w:val="left" w:pos="2283"/>
              </w:tabs>
              <w:spacing w:line="230" w:lineRule="auto"/>
              <w:ind w:right="514"/>
              <w:rPr>
                <w:rFonts w:asciiTheme="minorHAnsi" w:hAnsiTheme="minorHAnsi" w:cstheme="minorHAnsi"/>
                <w:u w:val="single"/>
                <w:lang w:val="lt-LT"/>
              </w:rPr>
            </w:pPr>
            <w:r w:rsidRPr="00E25906">
              <w:rPr>
                <w:rFonts w:asciiTheme="minorHAnsi" w:hAnsiTheme="minorHAnsi" w:cstheme="minorHAnsi"/>
                <w:lang w:val="lt-LT"/>
              </w:rPr>
              <w:t xml:space="preserve">  </w:t>
            </w:r>
            <w:r w:rsidR="00B93980" w:rsidRPr="00E25906">
              <w:rPr>
                <w:rFonts w:asciiTheme="minorHAnsi" w:hAnsiTheme="minorHAnsi" w:cstheme="minorHAnsi"/>
                <w:u w:val="single"/>
                <w:lang w:val="lt-LT"/>
              </w:rPr>
              <w:t>Tinkami dalyviai ir veiklos</w:t>
            </w:r>
          </w:p>
          <w:p w14:paraId="08D86692" w14:textId="25DDCC69" w:rsidR="00B93980" w:rsidRPr="00E25906" w:rsidRDefault="00B93980" w:rsidP="00B93980">
            <w:pPr>
              <w:pStyle w:val="TableParagraph"/>
              <w:numPr>
                <w:ilvl w:val="0"/>
                <w:numId w:val="26"/>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Pagal KA107 taisykles</w:t>
            </w:r>
          </w:p>
          <w:p w14:paraId="70E3B1F3" w14:textId="77777777" w:rsidR="00B93980" w:rsidRPr="00E25906" w:rsidRDefault="00B93980" w:rsidP="00B93980">
            <w:pPr>
              <w:pStyle w:val="TableParagraph"/>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 </w:t>
            </w:r>
          </w:p>
          <w:p w14:paraId="6A2E98FB" w14:textId="77777777" w:rsidR="00B93980" w:rsidRPr="00E25906" w:rsidRDefault="00B93980" w:rsidP="00B93980">
            <w:pPr>
              <w:pStyle w:val="TableParagraph"/>
              <w:tabs>
                <w:tab w:val="left" w:pos="2282"/>
                <w:tab w:val="left" w:pos="2283"/>
              </w:tabs>
              <w:spacing w:line="230" w:lineRule="auto"/>
              <w:ind w:right="514"/>
              <w:rPr>
                <w:rFonts w:asciiTheme="minorHAnsi" w:hAnsiTheme="minorHAnsi" w:cstheme="minorHAnsi"/>
                <w:u w:val="single"/>
                <w:lang w:val="lt-LT"/>
              </w:rPr>
            </w:pPr>
            <w:r w:rsidRPr="00E25906">
              <w:rPr>
                <w:rFonts w:asciiTheme="minorHAnsi" w:hAnsiTheme="minorHAnsi" w:cstheme="minorHAnsi"/>
                <w:lang w:val="lt-LT"/>
              </w:rPr>
              <w:t xml:space="preserve">  </w:t>
            </w:r>
            <w:r w:rsidRPr="00E25906">
              <w:rPr>
                <w:rFonts w:asciiTheme="minorHAnsi" w:hAnsiTheme="minorHAnsi" w:cstheme="minorHAnsi"/>
                <w:u w:val="single"/>
                <w:lang w:val="lt-LT"/>
              </w:rPr>
              <w:t>Paraiška</w:t>
            </w:r>
          </w:p>
          <w:p w14:paraId="18AFCFFE" w14:textId="77777777" w:rsidR="00B93980" w:rsidRPr="00E25906" w:rsidRDefault="00B93980" w:rsidP="00B93980">
            <w:pPr>
              <w:pStyle w:val="TableParagraph"/>
              <w:tabs>
                <w:tab w:val="left" w:pos="2282"/>
                <w:tab w:val="left" w:pos="2283"/>
              </w:tabs>
              <w:spacing w:line="230" w:lineRule="auto"/>
              <w:ind w:right="514"/>
              <w:rPr>
                <w:rFonts w:asciiTheme="minorHAnsi" w:hAnsiTheme="minorHAnsi" w:cstheme="minorHAnsi"/>
                <w:lang w:val="lt-LT"/>
              </w:rPr>
            </w:pPr>
          </w:p>
          <w:p w14:paraId="2BCB11F3" w14:textId="61E79529" w:rsidR="00B93980" w:rsidRPr="00E25906" w:rsidRDefault="004F381E" w:rsidP="00B93980">
            <w:pPr>
              <w:pStyle w:val="TableParagraph"/>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 </w:t>
            </w:r>
            <w:r w:rsidR="00B93980" w:rsidRPr="00E25906">
              <w:rPr>
                <w:rFonts w:asciiTheme="minorHAnsi" w:hAnsiTheme="minorHAnsi" w:cstheme="minorHAnsi"/>
                <w:lang w:val="lt-LT"/>
              </w:rPr>
              <w:t>Kai siunčiančiosios U</w:t>
            </w:r>
            <w:r w:rsidR="003D6C61" w:rsidRPr="00E25906">
              <w:rPr>
                <w:rFonts w:asciiTheme="minorHAnsi" w:hAnsiTheme="minorHAnsi" w:cstheme="minorHAnsi"/>
                <w:lang w:val="lt-LT"/>
              </w:rPr>
              <w:t>krainos</w:t>
            </w:r>
            <w:r w:rsidR="00B93980" w:rsidRPr="00E25906">
              <w:rPr>
                <w:rFonts w:asciiTheme="minorHAnsi" w:hAnsiTheme="minorHAnsi" w:cstheme="minorHAnsi"/>
                <w:lang w:val="lt-LT"/>
              </w:rPr>
              <w:t xml:space="preserve"> institucijos negali teikti rekomendacijų ir paramos:</w:t>
            </w:r>
          </w:p>
          <w:p w14:paraId="287C667A" w14:textId="10131276" w:rsidR="00B93980" w:rsidRPr="00E25906" w:rsidRDefault="00B93980" w:rsidP="00B93980">
            <w:pPr>
              <w:pStyle w:val="TableParagraph"/>
              <w:numPr>
                <w:ilvl w:val="0"/>
                <w:numId w:val="25"/>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Dalyviai teikia paraiškas tiesiogiai </w:t>
            </w:r>
            <w:r w:rsidR="00643289" w:rsidRPr="00E25906">
              <w:rPr>
                <w:rFonts w:asciiTheme="minorHAnsi" w:hAnsiTheme="minorHAnsi" w:cstheme="minorHAnsi"/>
                <w:lang w:val="lt-LT"/>
              </w:rPr>
              <w:t xml:space="preserve">dotaciją </w:t>
            </w:r>
            <w:r w:rsidRPr="00E25906">
              <w:rPr>
                <w:rFonts w:asciiTheme="minorHAnsi" w:hAnsiTheme="minorHAnsi" w:cstheme="minorHAnsi"/>
                <w:lang w:val="lt-LT"/>
              </w:rPr>
              <w:t xml:space="preserve">gaunančiai </w:t>
            </w:r>
            <w:r w:rsidR="00DA1207" w:rsidRPr="00E25906">
              <w:rPr>
                <w:rFonts w:asciiTheme="minorHAnsi" w:hAnsiTheme="minorHAnsi" w:cstheme="minorHAnsi"/>
                <w:lang w:val="lt-LT"/>
              </w:rPr>
              <w:t>MSI</w:t>
            </w:r>
            <w:r w:rsidRPr="00E25906">
              <w:rPr>
                <w:rFonts w:asciiTheme="minorHAnsi" w:hAnsiTheme="minorHAnsi" w:cstheme="minorHAnsi"/>
                <w:lang w:val="lt-LT"/>
              </w:rPr>
              <w:t>, kurioje arba per kurią jie norėtų dalyvauti mobilumo programoje.</w:t>
            </w:r>
          </w:p>
          <w:p w14:paraId="47742FEF" w14:textId="78AB296C" w:rsidR="00B93980" w:rsidRPr="00E25906" w:rsidRDefault="00B93980" w:rsidP="00B93980">
            <w:pPr>
              <w:pStyle w:val="TableParagraph"/>
              <w:numPr>
                <w:ilvl w:val="0"/>
                <w:numId w:val="24"/>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Tarpinstitucinio susitarimo sudaryti nereikia. </w:t>
            </w:r>
          </w:p>
          <w:p w14:paraId="4F5FC6F4" w14:textId="17EC07AC" w:rsidR="00B93980" w:rsidRPr="00E25906" w:rsidRDefault="00643289" w:rsidP="00B93980">
            <w:pPr>
              <w:pStyle w:val="TableParagraph"/>
              <w:numPr>
                <w:ilvl w:val="0"/>
                <w:numId w:val="24"/>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Nominacijų</w:t>
            </w:r>
            <w:r w:rsidR="002B55DF" w:rsidRPr="00E25906">
              <w:rPr>
                <w:rFonts w:asciiTheme="minorHAnsi" w:hAnsiTheme="minorHAnsi" w:cstheme="minorHAnsi"/>
                <w:lang w:val="lt-LT"/>
              </w:rPr>
              <w:t xml:space="preserve"> </w:t>
            </w:r>
            <w:r w:rsidR="00B93980" w:rsidRPr="00E25906">
              <w:rPr>
                <w:rFonts w:asciiTheme="minorHAnsi" w:hAnsiTheme="minorHAnsi" w:cstheme="minorHAnsi"/>
                <w:lang w:val="lt-LT"/>
              </w:rPr>
              <w:t xml:space="preserve">teikti nereikia. </w:t>
            </w:r>
          </w:p>
          <w:p w14:paraId="28606465" w14:textId="6EB3E308" w:rsidR="00B93980" w:rsidRPr="00E25906" w:rsidRDefault="00B93980" w:rsidP="00B93980">
            <w:pPr>
              <w:pStyle w:val="TableParagraph"/>
              <w:numPr>
                <w:ilvl w:val="0"/>
                <w:numId w:val="24"/>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Mokymosi sutartis ir (arba) darbuotojų mobilumo sutartis pasirašoma tik tarp dalyvio ir priimančiosios institucijos (taip pat su stažuotę priimančia organizacija, jei ji nėra </w:t>
            </w:r>
            <w:r w:rsidR="00DA1207" w:rsidRPr="00E25906">
              <w:rPr>
                <w:rFonts w:asciiTheme="minorHAnsi" w:hAnsiTheme="minorHAnsi" w:cstheme="minorHAnsi"/>
                <w:lang w:val="lt-LT"/>
              </w:rPr>
              <w:t>MSI</w:t>
            </w:r>
            <w:r w:rsidRPr="00E25906">
              <w:rPr>
                <w:rFonts w:asciiTheme="minorHAnsi" w:hAnsiTheme="minorHAnsi" w:cstheme="minorHAnsi"/>
                <w:lang w:val="lt-LT"/>
              </w:rPr>
              <w:t>).</w:t>
            </w:r>
          </w:p>
          <w:p w14:paraId="14F843CC" w14:textId="78D51E0D" w:rsidR="00B93980" w:rsidRPr="00E25906" w:rsidRDefault="00643289" w:rsidP="00B93980">
            <w:pPr>
              <w:pStyle w:val="TableParagraph"/>
              <w:numPr>
                <w:ilvl w:val="0"/>
                <w:numId w:val="25"/>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Dotaciją </w:t>
            </w:r>
            <w:r w:rsidR="00B93980" w:rsidRPr="00E25906">
              <w:rPr>
                <w:rFonts w:asciiTheme="minorHAnsi" w:hAnsiTheme="minorHAnsi" w:cstheme="minorHAnsi"/>
                <w:lang w:val="lt-LT"/>
              </w:rPr>
              <w:t xml:space="preserve">gaunanti ir (arba) priimančioji </w:t>
            </w:r>
            <w:r w:rsidR="00DA1207" w:rsidRPr="00E25906">
              <w:rPr>
                <w:rFonts w:asciiTheme="minorHAnsi" w:hAnsiTheme="minorHAnsi" w:cstheme="minorHAnsi"/>
                <w:lang w:val="lt-LT"/>
              </w:rPr>
              <w:t>MSI</w:t>
            </w:r>
            <w:r w:rsidR="00B93980" w:rsidRPr="00E25906">
              <w:rPr>
                <w:rFonts w:asciiTheme="minorHAnsi" w:hAnsiTheme="minorHAnsi" w:cstheme="minorHAnsi"/>
                <w:lang w:val="lt-LT"/>
              </w:rPr>
              <w:t xml:space="preserve"> gali </w:t>
            </w:r>
            <w:r w:rsidR="00B2081E" w:rsidRPr="00E25906">
              <w:rPr>
                <w:rFonts w:asciiTheme="minorHAnsi" w:hAnsiTheme="minorHAnsi" w:cstheme="minorHAnsi"/>
                <w:lang w:val="lt-LT"/>
              </w:rPr>
              <w:t>priimti</w:t>
            </w:r>
            <w:r w:rsidR="00720633" w:rsidRPr="00E25906">
              <w:rPr>
                <w:rFonts w:asciiTheme="minorHAnsi" w:hAnsiTheme="minorHAnsi" w:cstheme="minorHAnsi"/>
                <w:lang w:val="lt-LT"/>
              </w:rPr>
              <w:t xml:space="preserve"> </w:t>
            </w:r>
            <w:r w:rsidR="00B93980" w:rsidRPr="00E25906">
              <w:rPr>
                <w:rFonts w:asciiTheme="minorHAnsi" w:hAnsiTheme="minorHAnsi" w:cstheme="minorHAnsi"/>
                <w:lang w:val="lt-LT"/>
              </w:rPr>
              <w:t>nuolat ir be jokio kandidatų teikimo termino.</w:t>
            </w:r>
          </w:p>
          <w:p w14:paraId="134D9911" w14:textId="289498BF" w:rsidR="00B93980" w:rsidRPr="00E25906" w:rsidRDefault="00643289" w:rsidP="004F381E">
            <w:pPr>
              <w:pStyle w:val="TableParagraph"/>
              <w:numPr>
                <w:ilvl w:val="0"/>
                <w:numId w:val="27"/>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Dotaciją </w:t>
            </w:r>
            <w:r w:rsidR="00B93980" w:rsidRPr="00E25906">
              <w:rPr>
                <w:rFonts w:asciiTheme="minorHAnsi" w:hAnsiTheme="minorHAnsi" w:cstheme="minorHAnsi"/>
                <w:lang w:val="lt-LT"/>
              </w:rPr>
              <w:t>gaunančios ir (arba) priimančiosios institucijos turėtų aiškiai apibrėžti kriterijus ir paskelbti savo paraiškų teikimo ir priėmimo kriterijus.</w:t>
            </w:r>
          </w:p>
          <w:p w14:paraId="22F5DE3F" w14:textId="67B4A35D" w:rsidR="00B93980" w:rsidRPr="00E25906" w:rsidRDefault="00643289" w:rsidP="004F381E">
            <w:pPr>
              <w:pStyle w:val="TableParagraph"/>
              <w:numPr>
                <w:ilvl w:val="0"/>
                <w:numId w:val="27"/>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Dotaciją </w:t>
            </w:r>
            <w:r w:rsidR="00B93980" w:rsidRPr="00E25906">
              <w:rPr>
                <w:rFonts w:asciiTheme="minorHAnsi" w:hAnsiTheme="minorHAnsi" w:cstheme="minorHAnsi"/>
                <w:lang w:val="lt-LT"/>
              </w:rPr>
              <w:t>gaunanti ir (arba) priimančioji institucija turėtų apsvarstyti galimybę supaprastinti iš atvykstančių dalyvių reikalaujamus kalbos mokėjimo įrodymus, nes dalyviai gali neturėti galimybės naudotis kalbos testais ir gauti sertifikatus.</w:t>
            </w:r>
          </w:p>
          <w:p w14:paraId="4D5BCBC9" w14:textId="05F6165C" w:rsidR="00B93980" w:rsidRPr="00E25906" w:rsidRDefault="00B93980" w:rsidP="004F381E">
            <w:pPr>
              <w:pStyle w:val="TableParagraph"/>
              <w:numPr>
                <w:ilvl w:val="0"/>
                <w:numId w:val="27"/>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Pagal galiojančias taisykles dotacija gali būti skiriama tik už studijų ir (arba) mokymosi ir (arba) dėstymo ir (arba) mokymo laikotarpį.</w:t>
            </w:r>
          </w:p>
          <w:p w14:paraId="55A5C100" w14:textId="77777777" w:rsidR="00B93980" w:rsidRPr="00E25906" w:rsidRDefault="00B93980" w:rsidP="00B93980">
            <w:pPr>
              <w:pStyle w:val="TableParagraph"/>
              <w:tabs>
                <w:tab w:val="left" w:pos="2282"/>
                <w:tab w:val="left" w:pos="2283"/>
              </w:tabs>
              <w:spacing w:line="230" w:lineRule="auto"/>
              <w:ind w:right="514"/>
              <w:rPr>
                <w:rFonts w:asciiTheme="minorHAnsi" w:hAnsiTheme="minorHAnsi" w:cstheme="minorHAnsi"/>
                <w:lang w:val="lt-LT"/>
              </w:rPr>
            </w:pPr>
          </w:p>
          <w:p w14:paraId="738B5B61" w14:textId="5394ED8C" w:rsidR="00EB460A" w:rsidRPr="00E25906" w:rsidRDefault="004F381E" w:rsidP="00EB460A">
            <w:pPr>
              <w:pStyle w:val="TableParagraph"/>
              <w:spacing w:line="272" w:lineRule="exact"/>
              <w:ind w:left="844" w:right="332"/>
              <w:jc w:val="both"/>
              <w:rPr>
                <w:rFonts w:asciiTheme="minorHAnsi" w:hAnsiTheme="minorHAnsi" w:cstheme="minorHAnsi"/>
                <w:lang w:val="lt-LT"/>
              </w:rPr>
            </w:pPr>
            <w:r w:rsidRPr="00E25906">
              <w:rPr>
                <w:rFonts w:asciiTheme="minorHAnsi" w:hAnsiTheme="minorHAnsi" w:cstheme="minorHAnsi"/>
                <w:u w:val="single"/>
                <w:lang w:val="lt-LT"/>
              </w:rPr>
              <w:t xml:space="preserve">  </w:t>
            </w:r>
            <w:r w:rsidR="00B93980" w:rsidRPr="00E25906">
              <w:rPr>
                <w:rFonts w:asciiTheme="minorHAnsi" w:hAnsiTheme="minorHAnsi" w:cstheme="minorHAnsi"/>
                <w:u w:val="single"/>
                <w:lang w:val="lt-LT"/>
              </w:rPr>
              <w:t xml:space="preserve">Kaip nustatomas tinkamumas? </w:t>
            </w:r>
            <w:r w:rsidR="00EB460A" w:rsidRPr="00E25906">
              <w:rPr>
                <w:rFonts w:asciiTheme="minorHAnsi" w:hAnsiTheme="minorHAnsi" w:cstheme="minorHAnsi"/>
                <w:lang w:val="lt-LT"/>
              </w:rPr>
              <w:t xml:space="preserve">Dotacijos gavėjas ir (arba) priimančioji institucija </w:t>
            </w:r>
            <w:r w:rsidR="00EB460A" w:rsidRPr="00E25906">
              <w:rPr>
                <w:rFonts w:asciiTheme="minorHAnsi" w:hAnsiTheme="minorHAnsi" w:cstheme="minorHAnsi"/>
                <w:b/>
                <w:lang w:val="lt-LT"/>
              </w:rPr>
              <w:t xml:space="preserve">turi patikrinti ir kaupti </w:t>
            </w:r>
            <w:r w:rsidR="00EB460A" w:rsidRPr="00E25906">
              <w:rPr>
                <w:rFonts w:asciiTheme="minorHAnsi" w:hAnsiTheme="minorHAnsi" w:cstheme="minorHAnsi"/>
                <w:lang w:val="lt-LT"/>
              </w:rPr>
              <w:t xml:space="preserve">šiuos mobilumo dalyvių, </w:t>
            </w:r>
            <w:proofErr w:type="spellStart"/>
            <w:r w:rsidR="00EB460A" w:rsidRPr="00E25906">
              <w:rPr>
                <w:rFonts w:asciiTheme="minorHAnsi" w:hAnsiTheme="minorHAnsi" w:cstheme="minorHAnsi"/>
                <w:lang w:val="lt-LT"/>
              </w:rPr>
              <w:t>t.y</w:t>
            </w:r>
            <w:proofErr w:type="spellEnd"/>
            <w:r w:rsidR="00EB460A" w:rsidRPr="00E25906">
              <w:rPr>
                <w:rFonts w:asciiTheme="minorHAnsi" w:hAnsiTheme="minorHAnsi" w:cstheme="minorHAnsi"/>
                <w:lang w:val="lt-LT"/>
              </w:rPr>
              <w:t xml:space="preserve">. Ukrainos piliečių karo pabėgėlių, statusą patvirtinančius dokumentus: </w:t>
            </w:r>
          </w:p>
          <w:p w14:paraId="0BEA5EFD" w14:textId="77777777" w:rsidR="00EB460A" w:rsidRPr="00E25906" w:rsidRDefault="00EB460A" w:rsidP="00EB460A">
            <w:pPr>
              <w:pStyle w:val="TableParagraph"/>
              <w:spacing w:line="272" w:lineRule="exact"/>
              <w:ind w:right="332"/>
              <w:jc w:val="both"/>
              <w:rPr>
                <w:rFonts w:asciiTheme="minorHAnsi" w:hAnsiTheme="minorHAnsi" w:cstheme="minorHAnsi"/>
                <w:lang w:val="lt-LT"/>
              </w:rPr>
            </w:pPr>
          </w:p>
          <w:p w14:paraId="394AB79F" w14:textId="77777777" w:rsidR="00EB460A" w:rsidRPr="00E25906" w:rsidRDefault="00EB460A" w:rsidP="00EB460A">
            <w:pPr>
              <w:pStyle w:val="TableParagraph"/>
              <w:spacing w:line="230" w:lineRule="auto"/>
              <w:ind w:left="846" w:right="670" w:hanging="1"/>
              <w:jc w:val="both"/>
              <w:rPr>
                <w:rFonts w:asciiTheme="minorHAnsi" w:hAnsiTheme="minorHAnsi" w:cstheme="minorHAnsi"/>
                <w:lang w:val="lt-LT"/>
              </w:rPr>
            </w:pPr>
            <w:r w:rsidRPr="00E25906">
              <w:rPr>
                <w:rFonts w:asciiTheme="minorHAnsi" w:hAnsiTheme="minorHAnsi" w:cstheme="minorHAnsi"/>
                <w:lang w:val="lt-LT"/>
              </w:rPr>
              <w:t xml:space="preserve">o Studentų atveju: </w:t>
            </w:r>
            <w:r w:rsidRPr="00E25906">
              <w:rPr>
                <w:rFonts w:asciiTheme="minorHAnsi" w:hAnsiTheme="minorHAnsi" w:cstheme="minorHAnsi"/>
                <w:iCs/>
                <w:lang w:val="lt-LT"/>
              </w:rPr>
              <w:t>priėmimo/studento pažymėjimai, akademinės pažymos, Ukrainos aukštųjų mokyklų arba atitinkamų institucijų išduotos deklaracijos, mokymosi sutartys,</w:t>
            </w:r>
            <w:r w:rsidRPr="00E25906">
              <w:rPr>
                <w:rFonts w:asciiTheme="minorHAnsi" w:hAnsiTheme="minorHAnsi" w:cstheme="minorHAnsi"/>
                <w:lang w:val="lt-LT"/>
              </w:rPr>
              <w:t xml:space="preserve"> kiti studento statusą patvirtinantys dokumentai.   </w:t>
            </w:r>
          </w:p>
          <w:p w14:paraId="027332F2" w14:textId="77777777" w:rsidR="00EB460A" w:rsidRPr="00E25906" w:rsidRDefault="00EB460A" w:rsidP="00EB460A">
            <w:pPr>
              <w:pStyle w:val="TableParagraph"/>
              <w:spacing w:line="230" w:lineRule="auto"/>
              <w:ind w:left="846" w:right="670" w:hanging="1"/>
              <w:jc w:val="both"/>
              <w:rPr>
                <w:rFonts w:asciiTheme="minorHAnsi" w:hAnsiTheme="minorHAnsi" w:cstheme="minorHAnsi"/>
                <w:iCs/>
                <w:lang w:val="lt-LT"/>
              </w:rPr>
            </w:pPr>
            <w:r w:rsidRPr="00E25906">
              <w:rPr>
                <w:rFonts w:asciiTheme="minorHAnsi" w:hAnsiTheme="minorHAnsi" w:cstheme="minorHAnsi"/>
                <w:lang w:val="lt-LT"/>
              </w:rPr>
              <w:t>o Darbuotojų atveju: darbo užmokesčio išrašai, diplomai, nurodantys darbuotojo specializacijos sritį, darbo sutartys,</w:t>
            </w:r>
            <w:r w:rsidRPr="00E25906">
              <w:rPr>
                <w:rFonts w:asciiTheme="minorHAnsi" w:hAnsiTheme="minorHAnsi" w:cstheme="minorHAnsi"/>
                <w:i/>
                <w:iCs/>
                <w:lang w:val="lt-LT"/>
              </w:rPr>
              <w:t xml:space="preserve"> </w:t>
            </w:r>
            <w:r w:rsidRPr="00E25906">
              <w:rPr>
                <w:rFonts w:asciiTheme="minorHAnsi" w:hAnsiTheme="minorHAnsi" w:cstheme="minorHAnsi"/>
                <w:iCs/>
                <w:lang w:val="lt-LT"/>
              </w:rPr>
              <w:t xml:space="preserve">Ukrainos aukštųjų </w:t>
            </w:r>
            <w:r w:rsidRPr="00E25906">
              <w:rPr>
                <w:rFonts w:asciiTheme="minorHAnsi" w:hAnsiTheme="minorHAnsi" w:cstheme="minorHAnsi"/>
                <w:iCs/>
                <w:lang w:val="lt-LT"/>
              </w:rPr>
              <w:lastRenderedPageBreak/>
              <w:t>mokyklų arba atitinkamų institucijų išduotos deklaracijos</w:t>
            </w:r>
            <w:r w:rsidRPr="00E25906">
              <w:rPr>
                <w:rFonts w:asciiTheme="minorHAnsi" w:hAnsiTheme="minorHAnsi" w:cstheme="minorHAnsi"/>
                <w:lang w:val="lt-LT"/>
              </w:rPr>
              <w:t xml:space="preserve">, </w:t>
            </w:r>
            <w:r w:rsidRPr="00E25906">
              <w:rPr>
                <w:rFonts w:asciiTheme="minorHAnsi" w:hAnsiTheme="minorHAnsi" w:cstheme="minorHAnsi"/>
                <w:iCs/>
                <w:lang w:val="lt-LT"/>
              </w:rPr>
              <w:t>kiti darbuotojo statusą patvirtinantys dokumentai.</w:t>
            </w:r>
          </w:p>
          <w:p w14:paraId="18761BC6" w14:textId="77777777" w:rsidR="00EB460A" w:rsidRPr="00E25906" w:rsidRDefault="00EB460A" w:rsidP="00EB460A">
            <w:pPr>
              <w:pStyle w:val="TableParagraph"/>
              <w:spacing w:line="230" w:lineRule="auto"/>
              <w:ind w:left="846" w:right="670" w:hanging="1"/>
              <w:jc w:val="both"/>
              <w:rPr>
                <w:rFonts w:asciiTheme="minorHAnsi" w:hAnsiTheme="minorHAnsi" w:cstheme="minorHAnsi"/>
                <w:lang w:val="lt-LT"/>
              </w:rPr>
            </w:pPr>
          </w:p>
          <w:p w14:paraId="43EDC8CC" w14:textId="77777777" w:rsidR="008E1008" w:rsidRPr="00E25906" w:rsidRDefault="00EB460A" w:rsidP="008E1008">
            <w:pPr>
              <w:pStyle w:val="TableParagraph"/>
              <w:numPr>
                <w:ilvl w:val="0"/>
                <w:numId w:val="34"/>
              </w:numPr>
              <w:spacing w:line="230" w:lineRule="auto"/>
              <w:ind w:right="670"/>
              <w:jc w:val="both"/>
              <w:rPr>
                <w:rFonts w:asciiTheme="minorHAnsi" w:hAnsiTheme="minorHAnsi" w:cstheme="minorHAnsi"/>
                <w:lang w:val="lt-LT"/>
              </w:rPr>
            </w:pPr>
            <w:r w:rsidRPr="00E25906">
              <w:rPr>
                <w:rFonts w:asciiTheme="minorHAnsi" w:hAnsiTheme="minorHAnsi" w:cstheme="minorHAnsi"/>
                <w:lang w:val="lt-LT"/>
              </w:rPr>
              <w:t xml:space="preserve">Jei mobilumo dalyvis neturi galimybės pateikti statusą įrodančių dokumentų, </w:t>
            </w:r>
            <w:r w:rsidR="00941518" w:rsidRPr="00E25906">
              <w:rPr>
                <w:rFonts w:asciiTheme="minorHAnsi" w:hAnsiTheme="minorHAnsi" w:cstheme="minorHAnsi"/>
                <w:lang w:val="lt-LT"/>
              </w:rPr>
              <w:t>MSI</w:t>
            </w:r>
            <w:r w:rsidRPr="00E25906">
              <w:rPr>
                <w:rFonts w:asciiTheme="minorHAnsi" w:hAnsiTheme="minorHAnsi" w:cstheme="minorHAnsi"/>
                <w:lang w:val="lt-LT"/>
              </w:rPr>
              <w:t xml:space="preserve"> turi vadovautis vidine institucijos procedūra dėl kandidatų, neturinčių dokumentų, statuso pripažinimo, vadovaujantis aktualiomis Studijų kokybės vertinimo centro </w:t>
            </w:r>
            <w:r w:rsidR="008E1008" w:rsidRPr="00E25906">
              <w:rPr>
                <w:rFonts w:asciiTheme="minorHAnsi" w:hAnsiTheme="minorHAnsi" w:cstheme="minorHAnsi"/>
                <w:lang w:val="lt-LT"/>
              </w:rPr>
              <w:t xml:space="preserve">rekomendacijomis, skelbiamomis: </w:t>
            </w:r>
          </w:p>
          <w:p w14:paraId="143D2256" w14:textId="77777777" w:rsidR="008E1008" w:rsidRPr="00E25906" w:rsidRDefault="00897DFD" w:rsidP="008E1008">
            <w:pPr>
              <w:pStyle w:val="TableParagraph"/>
              <w:ind w:hanging="1"/>
              <w:jc w:val="both"/>
              <w:rPr>
                <w:rFonts w:cstheme="minorHAnsi"/>
                <w:lang w:val="lt-LT"/>
              </w:rPr>
            </w:pPr>
            <w:hyperlink r:id="rId13" w:history="1">
              <w:r w:rsidR="008E1008" w:rsidRPr="00E25906">
                <w:rPr>
                  <w:rStyle w:val="Hyperlink"/>
                  <w:rFonts w:cstheme="minorHAnsi"/>
                  <w:lang w:val="lt-LT"/>
                </w:rPr>
                <w:t>https://www.skvc.lt/uploads/documents/files/Registruotiems_vartotojams/Leidiniai/Proceduros_be_dokumentu_aprasymas.pdf</w:t>
              </w:r>
            </w:hyperlink>
            <w:r w:rsidR="008E1008" w:rsidRPr="00E25906">
              <w:rPr>
                <w:rFonts w:cstheme="minorHAnsi"/>
                <w:lang w:val="lt-LT"/>
              </w:rPr>
              <w:t xml:space="preserve">; </w:t>
            </w:r>
            <w:hyperlink r:id="rId14" w:history="1">
              <w:r w:rsidR="008E1008" w:rsidRPr="00E25906">
                <w:rPr>
                  <w:rStyle w:val="Hyperlink"/>
                  <w:rFonts w:cstheme="minorHAnsi"/>
                  <w:lang w:val="lt-LT"/>
                </w:rPr>
                <w:t>https://www.skvc.lt/default/lt/uzsienio-kvalifikaciju-pripazinimas/institucijoms/rekomendacijos</w:t>
              </w:r>
            </w:hyperlink>
            <w:r w:rsidR="008E1008" w:rsidRPr="00E25906">
              <w:rPr>
                <w:rFonts w:cstheme="minorHAnsi"/>
                <w:lang w:val="lt-LT"/>
              </w:rPr>
              <w:t>.</w:t>
            </w:r>
          </w:p>
          <w:p w14:paraId="33F50BA4" w14:textId="1A337A76" w:rsidR="00B93980" w:rsidRPr="00E25906" w:rsidRDefault="00B93980" w:rsidP="00B93980">
            <w:pPr>
              <w:pStyle w:val="TableParagraph"/>
              <w:tabs>
                <w:tab w:val="left" w:pos="2282"/>
                <w:tab w:val="left" w:pos="2283"/>
              </w:tabs>
              <w:spacing w:line="230" w:lineRule="auto"/>
              <w:ind w:right="514"/>
              <w:rPr>
                <w:rFonts w:asciiTheme="minorHAnsi" w:hAnsiTheme="minorHAnsi" w:cstheme="minorHAnsi"/>
                <w:lang w:val="lt-LT"/>
              </w:rPr>
            </w:pPr>
          </w:p>
          <w:p w14:paraId="5ACC5364" w14:textId="2A705E62" w:rsidR="00B93980" w:rsidRPr="00E25906" w:rsidRDefault="004F381E" w:rsidP="00B93980">
            <w:pPr>
              <w:pStyle w:val="TableParagraph"/>
              <w:tabs>
                <w:tab w:val="left" w:pos="2282"/>
                <w:tab w:val="left" w:pos="2283"/>
              </w:tabs>
              <w:spacing w:line="230" w:lineRule="auto"/>
              <w:ind w:right="514"/>
              <w:rPr>
                <w:rFonts w:asciiTheme="minorHAnsi" w:hAnsiTheme="minorHAnsi" w:cstheme="minorHAnsi"/>
                <w:u w:val="single"/>
                <w:lang w:val="lt-LT"/>
              </w:rPr>
            </w:pPr>
            <w:r w:rsidRPr="00E25906">
              <w:rPr>
                <w:rFonts w:asciiTheme="minorHAnsi" w:hAnsiTheme="minorHAnsi" w:cstheme="minorHAnsi"/>
                <w:u w:val="single"/>
                <w:lang w:val="lt-LT"/>
              </w:rPr>
              <w:t xml:space="preserve">  </w:t>
            </w:r>
            <w:r w:rsidR="00B93980" w:rsidRPr="00E25906">
              <w:rPr>
                <w:rFonts w:asciiTheme="minorHAnsi" w:hAnsiTheme="minorHAnsi" w:cstheme="minorHAnsi"/>
                <w:u w:val="single"/>
                <w:lang w:val="lt-LT"/>
              </w:rPr>
              <w:t>Pasirengimas</w:t>
            </w:r>
          </w:p>
          <w:p w14:paraId="581564E3" w14:textId="77777777" w:rsidR="004F381E" w:rsidRPr="00E25906" w:rsidRDefault="004F381E" w:rsidP="00B93980">
            <w:pPr>
              <w:pStyle w:val="TableParagraph"/>
              <w:tabs>
                <w:tab w:val="left" w:pos="2282"/>
                <w:tab w:val="left" w:pos="2283"/>
              </w:tabs>
              <w:spacing w:line="230" w:lineRule="auto"/>
              <w:ind w:right="514"/>
              <w:rPr>
                <w:rFonts w:asciiTheme="minorHAnsi" w:hAnsiTheme="minorHAnsi" w:cstheme="minorHAnsi"/>
                <w:lang w:val="lt-LT"/>
              </w:rPr>
            </w:pPr>
          </w:p>
          <w:p w14:paraId="6BA801BC" w14:textId="74341782" w:rsidR="00B93980" w:rsidRPr="00E25906" w:rsidRDefault="00B93980" w:rsidP="004F381E">
            <w:pPr>
              <w:pStyle w:val="TableParagraph"/>
              <w:numPr>
                <w:ilvl w:val="0"/>
                <w:numId w:val="29"/>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Priimančioji institucija turi perimti užduotis, susijusias su įvadinių ir (arba) parengiamųjų kursų pasiūlymu ir visa kita pagalba ir parama, kurią studentai turi teisę gauti pagal „Erasmus+“ studentų chartiją, nes siunčiančioji institucija negalės teikti šių rekomendacijų ir paramos.</w:t>
            </w:r>
          </w:p>
          <w:p w14:paraId="27578468" w14:textId="0D76DB01" w:rsidR="00B93980" w:rsidRPr="00E25906" w:rsidRDefault="00B93980" w:rsidP="004F381E">
            <w:pPr>
              <w:pStyle w:val="TableParagraph"/>
              <w:numPr>
                <w:ilvl w:val="0"/>
                <w:numId w:val="29"/>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Priimančiosios institucijos skatinamos bendradarbiauti su studentų asociacijomis ir mobilumo tinklais, kad integruotų atvykstančius studentus.</w:t>
            </w:r>
          </w:p>
          <w:p w14:paraId="637F4E0A" w14:textId="77777777" w:rsidR="00B93980" w:rsidRPr="00E25906" w:rsidRDefault="00B93980" w:rsidP="00B93980">
            <w:pPr>
              <w:pStyle w:val="TableParagraph"/>
              <w:tabs>
                <w:tab w:val="left" w:pos="2282"/>
                <w:tab w:val="left" w:pos="2283"/>
              </w:tabs>
              <w:spacing w:line="230" w:lineRule="auto"/>
              <w:ind w:right="514"/>
              <w:rPr>
                <w:rFonts w:asciiTheme="minorHAnsi" w:hAnsiTheme="minorHAnsi" w:cstheme="minorHAnsi"/>
                <w:lang w:val="lt-LT"/>
              </w:rPr>
            </w:pPr>
          </w:p>
          <w:p w14:paraId="25E1C1AE" w14:textId="6F37ABB8" w:rsidR="00B93980" w:rsidRPr="00E25906" w:rsidRDefault="004F381E" w:rsidP="00B93980">
            <w:pPr>
              <w:pStyle w:val="TableParagraph"/>
              <w:tabs>
                <w:tab w:val="left" w:pos="2282"/>
                <w:tab w:val="left" w:pos="2283"/>
              </w:tabs>
              <w:spacing w:line="230" w:lineRule="auto"/>
              <w:ind w:right="514"/>
              <w:rPr>
                <w:rFonts w:asciiTheme="minorHAnsi" w:hAnsiTheme="minorHAnsi" w:cstheme="minorHAnsi"/>
                <w:u w:val="single"/>
                <w:lang w:val="lt-LT"/>
              </w:rPr>
            </w:pPr>
            <w:r w:rsidRPr="00E25906">
              <w:rPr>
                <w:rFonts w:asciiTheme="minorHAnsi" w:hAnsiTheme="minorHAnsi" w:cstheme="minorHAnsi"/>
                <w:u w:val="single"/>
                <w:lang w:val="lt-LT"/>
              </w:rPr>
              <w:t xml:space="preserve">  </w:t>
            </w:r>
            <w:r w:rsidR="00B93980" w:rsidRPr="00E25906">
              <w:rPr>
                <w:rFonts w:asciiTheme="minorHAnsi" w:hAnsiTheme="minorHAnsi" w:cstheme="minorHAnsi"/>
                <w:u w:val="single"/>
                <w:lang w:val="lt-LT"/>
              </w:rPr>
              <w:t>Finansavimas</w:t>
            </w:r>
          </w:p>
          <w:p w14:paraId="23BC63BF" w14:textId="77777777" w:rsidR="004F381E" w:rsidRPr="00E25906" w:rsidRDefault="004F381E" w:rsidP="00B93980">
            <w:pPr>
              <w:pStyle w:val="TableParagraph"/>
              <w:tabs>
                <w:tab w:val="left" w:pos="2282"/>
                <w:tab w:val="left" w:pos="2283"/>
              </w:tabs>
              <w:spacing w:line="230" w:lineRule="auto"/>
              <w:ind w:right="514"/>
              <w:rPr>
                <w:rFonts w:asciiTheme="minorHAnsi" w:hAnsiTheme="minorHAnsi" w:cstheme="minorHAnsi"/>
                <w:lang w:val="lt-LT"/>
              </w:rPr>
            </w:pPr>
          </w:p>
          <w:p w14:paraId="5041189D" w14:textId="0D8BEC70" w:rsidR="004F381E" w:rsidRPr="00E25906" w:rsidRDefault="00B93980" w:rsidP="004F381E">
            <w:pPr>
              <w:pStyle w:val="TableParagraph"/>
              <w:numPr>
                <w:ilvl w:val="0"/>
                <w:numId w:val="30"/>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KA107 atvykstančiųjų mobilumo įkainiai + papildoma priemoka </w:t>
            </w:r>
            <w:r w:rsidR="00F52507" w:rsidRPr="00E25906">
              <w:rPr>
                <w:rFonts w:asciiTheme="minorHAnsi" w:hAnsiTheme="minorHAnsi" w:cstheme="minorHAnsi"/>
                <w:lang w:val="lt-LT"/>
              </w:rPr>
              <w:t xml:space="preserve">dėl </w:t>
            </w:r>
            <w:r w:rsidRPr="00E25906">
              <w:rPr>
                <w:rFonts w:asciiTheme="minorHAnsi" w:hAnsiTheme="minorHAnsi" w:cstheme="minorHAnsi"/>
                <w:lang w:val="lt-LT"/>
              </w:rPr>
              <w:t>nepalanki</w:t>
            </w:r>
            <w:r w:rsidR="00F52507" w:rsidRPr="00E25906">
              <w:rPr>
                <w:rFonts w:asciiTheme="minorHAnsi" w:hAnsiTheme="minorHAnsi" w:cstheme="minorHAnsi"/>
                <w:lang w:val="lt-LT"/>
              </w:rPr>
              <w:t>os</w:t>
            </w:r>
            <w:r w:rsidRPr="00E25906">
              <w:rPr>
                <w:rFonts w:asciiTheme="minorHAnsi" w:hAnsiTheme="minorHAnsi" w:cstheme="minorHAnsi"/>
                <w:lang w:val="lt-LT"/>
              </w:rPr>
              <w:t xml:space="preserve"> padėt</w:t>
            </w:r>
            <w:r w:rsidR="00F52507" w:rsidRPr="00E25906">
              <w:rPr>
                <w:rFonts w:asciiTheme="minorHAnsi" w:hAnsiTheme="minorHAnsi" w:cstheme="minorHAnsi"/>
                <w:lang w:val="lt-LT"/>
              </w:rPr>
              <w:t>ies</w:t>
            </w:r>
            <w:r w:rsidR="008A02FB" w:rsidRPr="00E25906">
              <w:rPr>
                <w:rFonts w:asciiTheme="minorHAnsi" w:hAnsiTheme="minorHAnsi" w:cstheme="minorHAnsi"/>
                <w:vertAlign w:val="superscript"/>
                <w:lang w:val="lt-LT"/>
              </w:rPr>
              <w:footnoteReference w:id="2"/>
            </w:r>
            <w:r w:rsidRPr="00E25906">
              <w:rPr>
                <w:rFonts w:asciiTheme="minorHAnsi" w:hAnsiTheme="minorHAnsi" w:cstheme="minorHAnsi"/>
                <w:lang w:val="lt-LT"/>
              </w:rPr>
              <w:t>.</w:t>
            </w:r>
          </w:p>
          <w:p w14:paraId="118C29E5" w14:textId="4CD3E8AF" w:rsidR="00B93980" w:rsidRPr="00E25906" w:rsidRDefault="00B93980" w:rsidP="004F381E">
            <w:pPr>
              <w:pStyle w:val="TableParagraph"/>
              <w:numPr>
                <w:ilvl w:val="0"/>
                <w:numId w:val="30"/>
              </w:numPr>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 xml:space="preserve">Atvykstantis dalyvis su priimančiąja institucija pasirašo pakeistą dotacijos sutartį, </w:t>
            </w:r>
            <w:r w:rsidR="00BD0CBC" w:rsidRPr="00E25906">
              <w:rPr>
                <w:rFonts w:asciiTheme="minorHAnsi" w:hAnsiTheme="minorHAnsi" w:cstheme="minorHAnsi"/>
                <w:lang w:val="lt-LT"/>
              </w:rPr>
              <w:t xml:space="preserve">jei </w:t>
            </w:r>
            <w:r w:rsidRPr="00E25906">
              <w:rPr>
                <w:rFonts w:asciiTheme="minorHAnsi" w:hAnsiTheme="minorHAnsi" w:cstheme="minorHAnsi"/>
                <w:lang w:val="lt-LT"/>
              </w:rPr>
              <w:t>siunčiančioji institucija negalės suteikti paramos.</w:t>
            </w:r>
          </w:p>
        </w:tc>
        <w:tc>
          <w:tcPr>
            <w:tcW w:w="4252" w:type="dxa"/>
          </w:tcPr>
          <w:p w14:paraId="5B930044" w14:textId="3D49AFC7" w:rsidR="00E92012" w:rsidRPr="00E25906" w:rsidRDefault="00314D2B" w:rsidP="00E92012">
            <w:pPr>
              <w:rPr>
                <w:rFonts w:cstheme="minorHAnsi"/>
                <w:lang w:val="lt-LT"/>
              </w:rPr>
            </w:pPr>
            <w:r w:rsidRPr="00E25906">
              <w:rPr>
                <w:rFonts w:cstheme="minorHAnsi"/>
                <w:lang w:val="lt-LT"/>
              </w:rPr>
              <w:lastRenderedPageBreak/>
              <w:t>B</w:t>
            </w:r>
            <w:r w:rsidR="00E92012" w:rsidRPr="00E25906">
              <w:rPr>
                <w:rFonts w:cstheme="minorHAnsi"/>
                <w:lang w:val="lt-LT"/>
              </w:rPr>
              <w:t>iudžeto perkėlim</w:t>
            </w:r>
            <w:r w:rsidRPr="00E25906">
              <w:rPr>
                <w:rFonts w:cstheme="minorHAnsi"/>
                <w:lang w:val="lt-LT"/>
              </w:rPr>
              <w:t>o lankstumas</w:t>
            </w:r>
            <w:r w:rsidR="00E92012" w:rsidRPr="00E25906">
              <w:rPr>
                <w:rFonts w:cstheme="minorHAnsi"/>
                <w:lang w:val="lt-LT"/>
              </w:rPr>
              <w:t xml:space="preserve"> bus užtikrintas iš dalies keičiant šiuo metu vykdomas tarptautinio kreditų mobilumo dotacijų sutartis, kuriose įtraukta Ukraina, kaip nurodyta žemiau:</w:t>
            </w:r>
          </w:p>
          <w:p w14:paraId="317E2631" w14:textId="77777777" w:rsidR="00E92012" w:rsidRPr="00E25906" w:rsidRDefault="00E92012" w:rsidP="00E92012">
            <w:pPr>
              <w:jc w:val="both"/>
              <w:rPr>
                <w:rFonts w:cstheme="minorHAnsi"/>
                <w:lang w:val="lt-LT"/>
              </w:rPr>
            </w:pPr>
          </w:p>
          <w:p w14:paraId="31C5CB72" w14:textId="7520900A" w:rsidR="004F381E" w:rsidRPr="00E25906" w:rsidRDefault="00E92012" w:rsidP="008A6B7B">
            <w:pPr>
              <w:pStyle w:val="ListParagraph"/>
              <w:numPr>
                <w:ilvl w:val="0"/>
                <w:numId w:val="31"/>
              </w:numPr>
              <w:ind w:right="139"/>
              <w:rPr>
                <w:rFonts w:cstheme="minorHAnsi"/>
                <w:lang w:val="lt-LT"/>
              </w:rPr>
            </w:pPr>
            <w:r w:rsidRPr="00E25906">
              <w:rPr>
                <w:rFonts w:cstheme="minorHAnsi"/>
                <w:lang w:val="lt-LT"/>
              </w:rPr>
              <w:t xml:space="preserve">Bus leidžiama pervesti biudžeto lėšas iš kitų </w:t>
            </w:r>
            <w:r w:rsidRPr="00E25906">
              <w:rPr>
                <w:rFonts w:cstheme="minorHAnsi"/>
                <w:b/>
                <w:lang w:val="lt-LT"/>
              </w:rPr>
              <w:t>2 Regiono</w:t>
            </w:r>
            <w:r w:rsidRPr="00E25906">
              <w:rPr>
                <w:rFonts w:cstheme="minorHAnsi"/>
                <w:lang w:val="lt-LT"/>
              </w:rPr>
              <w:t xml:space="preserve"> (Rytų </w:t>
            </w:r>
            <w:r w:rsidR="00E34616" w:rsidRPr="00E25906">
              <w:rPr>
                <w:rFonts w:cstheme="minorHAnsi"/>
                <w:lang w:val="lt-LT"/>
              </w:rPr>
              <w:t>Partnerystės</w:t>
            </w:r>
            <w:r w:rsidRPr="00E25906">
              <w:rPr>
                <w:rFonts w:cstheme="minorHAnsi"/>
                <w:lang w:val="lt-LT"/>
              </w:rPr>
              <w:t xml:space="preserve">) šalių  ir iš </w:t>
            </w:r>
            <w:r w:rsidRPr="00E25906">
              <w:rPr>
                <w:rFonts w:cstheme="minorHAnsi"/>
                <w:b/>
                <w:lang w:val="lt-LT"/>
              </w:rPr>
              <w:t>4 Regiono</w:t>
            </w:r>
            <w:r w:rsidRPr="00E25906">
              <w:rPr>
                <w:rFonts w:cstheme="minorHAnsi"/>
                <w:lang w:val="lt-LT"/>
              </w:rPr>
              <w:t xml:space="preserve"> (Rusijos Federacija), </w:t>
            </w:r>
            <w:r w:rsidR="00E34616" w:rsidRPr="00E25906">
              <w:rPr>
                <w:rFonts w:cstheme="minorHAnsi"/>
                <w:lang w:val="lt-LT"/>
              </w:rPr>
              <w:t>siekiant paskatinti</w:t>
            </w:r>
            <w:r w:rsidRPr="00E25906">
              <w:rPr>
                <w:rFonts w:cstheme="minorHAnsi"/>
                <w:lang w:val="lt-LT"/>
              </w:rPr>
              <w:t xml:space="preserve"> atvykstančiųjų iš Ukrainos mobilumą;</w:t>
            </w:r>
          </w:p>
          <w:p w14:paraId="0C1AA917" w14:textId="77777777" w:rsidR="004F381E" w:rsidRPr="00E25906" w:rsidRDefault="004F381E" w:rsidP="004F381E">
            <w:pPr>
              <w:jc w:val="both"/>
              <w:rPr>
                <w:rFonts w:cstheme="minorHAnsi"/>
                <w:lang w:val="lt-LT"/>
              </w:rPr>
            </w:pPr>
          </w:p>
          <w:p w14:paraId="75D57C98" w14:textId="5A591E66" w:rsidR="004F381E" w:rsidRPr="00E25906" w:rsidRDefault="00E34616" w:rsidP="008A6B7B">
            <w:pPr>
              <w:ind w:right="139"/>
              <w:jc w:val="both"/>
              <w:rPr>
                <w:rFonts w:cstheme="minorHAnsi"/>
                <w:b/>
                <w:u w:val="single"/>
                <w:lang w:val="lt-LT"/>
              </w:rPr>
            </w:pPr>
            <w:r w:rsidRPr="00E25906">
              <w:rPr>
                <w:rFonts w:cstheme="minorHAnsi"/>
                <w:b/>
                <w:lang w:val="lt-LT"/>
              </w:rPr>
              <w:t>Paramos gavėjai, kurių KA</w:t>
            </w:r>
            <w:r w:rsidR="002973EF" w:rsidRPr="00E25906">
              <w:rPr>
                <w:rFonts w:cstheme="minorHAnsi"/>
                <w:b/>
                <w:lang w:val="lt-LT"/>
              </w:rPr>
              <w:t xml:space="preserve">107 veiklos dotacijos sutartyse Ukraina nenumatyta, </w:t>
            </w:r>
            <w:r w:rsidRPr="00E25906">
              <w:rPr>
                <w:rFonts w:cstheme="minorHAnsi"/>
                <w:b/>
                <w:lang w:val="lt-LT"/>
              </w:rPr>
              <w:t xml:space="preserve">negalės pasinaudoti pirmiau minėtomis lankstumo priemonėmis. Kviečiame juos išnagrinėti galimybę panaudoti savo 2 išlaidų kategorijos lėšas pagal KA131, jei </w:t>
            </w:r>
            <w:r w:rsidRPr="00E25906">
              <w:rPr>
                <w:rFonts w:cstheme="minorHAnsi"/>
                <w:b/>
                <w:u w:val="single"/>
                <w:lang w:val="lt-LT"/>
              </w:rPr>
              <w:t>jie yra abiejų veiksmų paramos gavėjai.</w:t>
            </w:r>
          </w:p>
          <w:p w14:paraId="1A19B7A0" w14:textId="77777777" w:rsidR="004F381E" w:rsidRPr="00E25906" w:rsidRDefault="004F381E" w:rsidP="004F381E">
            <w:pPr>
              <w:jc w:val="both"/>
              <w:rPr>
                <w:rFonts w:cstheme="minorHAnsi"/>
                <w:b/>
                <w:lang w:val="lt-LT"/>
              </w:rPr>
            </w:pPr>
          </w:p>
          <w:p w14:paraId="40CF426E" w14:textId="66EC7152" w:rsidR="00B93980" w:rsidRPr="00E25906" w:rsidRDefault="002973EF" w:rsidP="002973EF">
            <w:pPr>
              <w:pStyle w:val="TableParagraph"/>
              <w:tabs>
                <w:tab w:val="left" w:pos="2282"/>
                <w:tab w:val="left" w:pos="2283"/>
              </w:tabs>
              <w:spacing w:line="230" w:lineRule="auto"/>
              <w:ind w:right="514"/>
              <w:rPr>
                <w:rFonts w:asciiTheme="minorHAnsi" w:hAnsiTheme="minorHAnsi" w:cstheme="minorHAnsi"/>
                <w:lang w:val="lt-LT"/>
              </w:rPr>
            </w:pPr>
            <w:r w:rsidRPr="00E25906">
              <w:rPr>
                <w:rFonts w:asciiTheme="minorHAnsi" w:hAnsiTheme="minorHAnsi" w:cstheme="minorHAnsi"/>
                <w:lang w:val="lt-LT"/>
              </w:rPr>
              <w:t>Numatoma, kad lankstumas, susijęs su regioninio biudžeto perkėlimais ir įgyvendinimo taisyklių pritaikymu, bus taikomas ir šiuo metu atrenkamiems 2022 m. kvietimo KA171 projektams. Apie tai bus informuota atskiru pranešimu.</w:t>
            </w:r>
          </w:p>
        </w:tc>
      </w:tr>
    </w:tbl>
    <w:p w14:paraId="05D75314" w14:textId="77777777" w:rsidR="00CE4959" w:rsidRDefault="00CE4959" w:rsidP="00CB6160">
      <w:pPr>
        <w:rPr>
          <w:rFonts w:cstheme="minorHAnsi"/>
        </w:rPr>
        <w:sectPr w:rsidR="00CE4959" w:rsidSect="00CB6160">
          <w:headerReference w:type="default" r:id="rId15"/>
          <w:footerReference w:type="default" r:id="rId16"/>
          <w:pgSz w:w="16838" w:h="11906" w:orient="landscape"/>
          <w:pgMar w:top="567" w:right="1440" w:bottom="1440" w:left="1440" w:header="567" w:footer="567" w:gutter="0"/>
          <w:cols w:space="1296"/>
          <w:docGrid w:linePitch="360"/>
        </w:sectPr>
      </w:pPr>
    </w:p>
    <w:p w14:paraId="4ADAAB01" w14:textId="1E338F96" w:rsidR="00724D5E" w:rsidRPr="00E25906" w:rsidRDefault="00724D5E" w:rsidP="001A54D6">
      <w:pPr>
        <w:pStyle w:val="ListParagraph"/>
        <w:numPr>
          <w:ilvl w:val="0"/>
          <w:numId w:val="41"/>
        </w:numPr>
        <w:spacing w:after="0"/>
        <w:jc w:val="both"/>
        <w:rPr>
          <w:rFonts w:cstheme="minorHAnsi"/>
          <w:b/>
          <w:u w:val="single"/>
        </w:rPr>
      </w:pPr>
      <w:bookmarkStart w:id="2" w:name="_Hlk102743427"/>
      <w:r w:rsidRPr="00E25906">
        <w:rPr>
          <w:rFonts w:cstheme="minorHAnsi"/>
          <w:b/>
          <w:u w:val="single"/>
        </w:rPr>
        <w:lastRenderedPageBreak/>
        <w:t xml:space="preserve">PROGRAMOS „ERASMUS+“  AUKŠTOJO MOKSLO SEKTORIAUS PROJEKTŲ </w:t>
      </w:r>
      <w:r w:rsidR="00602F4C" w:rsidRPr="00E25906">
        <w:rPr>
          <w:rFonts w:cstheme="minorHAnsi"/>
          <w:b/>
          <w:u w:val="single"/>
        </w:rPr>
        <w:t xml:space="preserve">KA103, </w:t>
      </w:r>
      <w:r w:rsidRPr="00E25906">
        <w:rPr>
          <w:rFonts w:cstheme="minorHAnsi"/>
          <w:b/>
          <w:u w:val="single"/>
        </w:rPr>
        <w:t xml:space="preserve">KA131, KA107, </w:t>
      </w:r>
      <w:r w:rsidR="00602F4C" w:rsidRPr="00E25906">
        <w:rPr>
          <w:rFonts w:cstheme="minorHAnsi"/>
          <w:b/>
          <w:u w:val="single"/>
        </w:rPr>
        <w:t xml:space="preserve">KA171, </w:t>
      </w:r>
      <w:r w:rsidR="005A35DE" w:rsidRPr="00E25906">
        <w:rPr>
          <w:rFonts w:cstheme="minorHAnsi"/>
          <w:b/>
          <w:u w:val="single"/>
        </w:rPr>
        <w:t xml:space="preserve">KA203, KA226, </w:t>
      </w:r>
      <w:r w:rsidRPr="00E25906">
        <w:rPr>
          <w:rFonts w:cstheme="minorHAnsi"/>
          <w:b/>
          <w:u w:val="single"/>
        </w:rPr>
        <w:t>KA220 VEIKL</w:t>
      </w:r>
      <w:r w:rsidR="0045394F" w:rsidRPr="00E25906">
        <w:rPr>
          <w:rFonts w:cstheme="minorHAnsi"/>
          <w:b/>
          <w:u w:val="single"/>
        </w:rPr>
        <w:t>Ų ĮGYVENDINIMAS</w:t>
      </w:r>
      <w:r w:rsidRPr="00E25906">
        <w:rPr>
          <w:rFonts w:cstheme="minorHAnsi"/>
          <w:b/>
          <w:u w:val="single"/>
        </w:rPr>
        <w:t xml:space="preserve"> SU RUSIJA</w:t>
      </w:r>
      <w:r w:rsidR="0045394F" w:rsidRPr="00E25906">
        <w:rPr>
          <w:rFonts w:cstheme="minorHAnsi"/>
          <w:b/>
          <w:u w:val="single"/>
        </w:rPr>
        <w:t xml:space="preserve"> </w:t>
      </w:r>
    </w:p>
    <w:bookmarkEnd w:id="2"/>
    <w:p w14:paraId="0913EE45" w14:textId="5CA89539" w:rsidR="00724D5E" w:rsidRPr="00E25906" w:rsidRDefault="00724D5E" w:rsidP="00010559">
      <w:pPr>
        <w:spacing w:after="0"/>
        <w:jc w:val="both"/>
        <w:rPr>
          <w:rFonts w:cstheme="minorHAnsi"/>
        </w:rPr>
      </w:pPr>
    </w:p>
    <w:p w14:paraId="013333A7" w14:textId="2451463E" w:rsidR="00724D5E" w:rsidRPr="00E25906" w:rsidRDefault="00724D5E" w:rsidP="00724D5E">
      <w:pPr>
        <w:spacing w:after="0" w:line="240" w:lineRule="auto"/>
        <w:rPr>
          <w:rFonts w:ascii="Times New Roman" w:hAnsi="Times New Roman" w:cs="Times New Roman"/>
          <w:b/>
          <w:bCs/>
          <w:sz w:val="24"/>
          <w:szCs w:val="24"/>
        </w:rPr>
      </w:pPr>
    </w:p>
    <w:tbl>
      <w:tblPr>
        <w:tblStyle w:val="TableGrid"/>
        <w:tblW w:w="14312" w:type="dxa"/>
        <w:tblLook w:val="04A0" w:firstRow="1" w:lastRow="0" w:firstColumn="1" w:lastColumn="0" w:noHBand="0" w:noVBand="1"/>
      </w:tblPr>
      <w:tblGrid>
        <w:gridCol w:w="4814"/>
        <w:gridCol w:w="9498"/>
      </w:tblGrid>
      <w:tr w:rsidR="00724D5E" w:rsidRPr="00E25906" w14:paraId="5E4E6B9B" w14:textId="77777777" w:rsidTr="008A6B7B">
        <w:tc>
          <w:tcPr>
            <w:tcW w:w="14312" w:type="dxa"/>
            <w:gridSpan w:val="2"/>
          </w:tcPr>
          <w:p w14:paraId="4A41EDD9" w14:textId="0B017831" w:rsidR="00724D5E" w:rsidRPr="00E25906" w:rsidRDefault="00724D5E" w:rsidP="009E155C">
            <w:pPr>
              <w:rPr>
                <w:rFonts w:cstheme="minorHAnsi"/>
                <w:b/>
                <w:bCs/>
              </w:rPr>
            </w:pPr>
            <w:bookmarkStart w:id="3" w:name="_Hlk103001439"/>
            <w:r w:rsidRPr="00E25906">
              <w:rPr>
                <w:rFonts w:cstheme="minorHAnsi"/>
                <w:b/>
                <w:bCs/>
              </w:rPr>
              <w:t xml:space="preserve">1. Vykdomi projektai: „Erasmus+“ 2014–2020 ir „Erasmus+“ 2021 </w:t>
            </w:r>
            <w:r w:rsidR="00A26485" w:rsidRPr="00E25906">
              <w:rPr>
                <w:rFonts w:cstheme="minorHAnsi"/>
                <w:b/>
                <w:bCs/>
              </w:rPr>
              <w:t xml:space="preserve">m. </w:t>
            </w:r>
            <w:r w:rsidRPr="00E25906">
              <w:rPr>
                <w:rFonts w:cstheme="minorHAnsi"/>
                <w:b/>
                <w:bCs/>
              </w:rPr>
              <w:t>kvietimas</w:t>
            </w:r>
          </w:p>
        </w:tc>
      </w:tr>
      <w:tr w:rsidR="00724D5E" w:rsidRPr="00E25906" w14:paraId="34B8B8D4" w14:textId="77777777" w:rsidTr="008A6B7B">
        <w:tc>
          <w:tcPr>
            <w:tcW w:w="4814" w:type="dxa"/>
          </w:tcPr>
          <w:p w14:paraId="018307FB" w14:textId="77777777" w:rsidR="00724D5E" w:rsidRPr="00E25906" w:rsidRDefault="00724D5E" w:rsidP="009E155C">
            <w:pPr>
              <w:jc w:val="both"/>
              <w:rPr>
                <w:rFonts w:cstheme="minorHAnsi"/>
                <w:b/>
                <w:bCs/>
              </w:rPr>
            </w:pPr>
            <w:r w:rsidRPr="00E25906">
              <w:rPr>
                <w:rFonts w:cstheme="minorHAnsi"/>
                <w:b/>
                <w:bCs/>
              </w:rPr>
              <w:t>„Erasmus+“ mobilumas</w:t>
            </w:r>
          </w:p>
          <w:p w14:paraId="1AD5E687" w14:textId="3174C86B" w:rsidR="00724D5E" w:rsidRPr="00E25906" w:rsidRDefault="00724D5E" w:rsidP="00724D5E">
            <w:pPr>
              <w:pStyle w:val="ListParagraph"/>
              <w:numPr>
                <w:ilvl w:val="0"/>
                <w:numId w:val="36"/>
              </w:numPr>
              <w:jc w:val="both"/>
              <w:rPr>
                <w:rFonts w:cstheme="minorHAnsi"/>
              </w:rPr>
            </w:pPr>
            <w:r w:rsidRPr="00E25906">
              <w:rPr>
                <w:rFonts w:cstheme="minorHAnsi"/>
              </w:rPr>
              <w:t>Tarptautini</w:t>
            </w:r>
            <w:r w:rsidR="0006708B" w:rsidRPr="00E25906">
              <w:rPr>
                <w:rFonts w:cstheme="minorHAnsi"/>
              </w:rPr>
              <w:t>s</w:t>
            </w:r>
            <w:r w:rsidRPr="00E25906">
              <w:rPr>
                <w:rFonts w:cstheme="minorHAnsi"/>
              </w:rPr>
              <w:t xml:space="preserve"> mobilumas</w:t>
            </w:r>
            <w:r w:rsidR="00CF59BF" w:rsidRPr="00E25906">
              <w:rPr>
                <w:rFonts w:cstheme="minorHAnsi"/>
              </w:rPr>
              <w:t xml:space="preserve"> (KA107)</w:t>
            </w:r>
          </w:p>
          <w:p w14:paraId="526CB76E" w14:textId="77777777" w:rsidR="00A26485" w:rsidRPr="00E25906" w:rsidRDefault="00A26485" w:rsidP="001A54D6">
            <w:pPr>
              <w:pStyle w:val="ListParagraph"/>
              <w:jc w:val="both"/>
              <w:rPr>
                <w:rFonts w:cstheme="minorHAnsi"/>
              </w:rPr>
            </w:pPr>
          </w:p>
          <w:p w14:paraId="2FC5E9AD" w14:textId="77777777" w:rsidR="00A26485" w:rsidRPr="00E25906" w:rsidRDefault="00A26485" w:rsidP="001A54D6">
            <w:pPr>
              <w:pStyle w:val="ListParagraph"/>
              <w:jc w:val="both"/>
              <w:rPr>
                <w:rFonts w:cstheme="minorHAnsi"/>
              </w:rPr>
            </w:pPr>
          </w:p>
          <w:p w14:paraId="56A26F35" w14:textId="77777777" w:rsidR="00A26485" w:rsidRPr="00E25906" w:rsidRDefault="00A26485" w:rsidP="001A54D6">
            <w:pPr>
              <w:pStyle w:val="ListParagraph"/>
              <w:jc w:val="both"/>
              <w:rPr>
                <w:rFonts w:cstheme="minorHAnsi"/>
              </w:rPr>
            </w:pPr>
          </w:p>
          <w:p w14:paraId="411C756B" w14:textId="77777777" w:rsidR="00D6110E" w:rsidRPr="00E25906" w:rsidRDefault="00D6110E" w:rsidP="001A54D6">
            <w:pPr>
              <w:pStyle w:val="ListParagraph"/>
              <w:jc w:val="both"/>
              <w:rPr>
                <w:rFonts w:cstheme="minorHAnsi"/>
              </w:rPr>
            </w:pPr>
          </w:p>
          <w:p w14:paraId="7BD16CB3" w14:textId="77777777" w:rsidR="00D6110E" w:rsidRPr="00E25906" w:rsidRDefault="00D6110E" w:rsidP="001A54D6">
            <w:pPr>
              <w:ind w:left="360"/>
              <w:jc w:val="both"/>
              <w:rPr>
                <w:rFonts w:cstheme="minorHAnsi"/>
              </w:rPr>
            </w:pPr>
          </w:p>
          <w:p w14:paraId="29BE007A" w14:textId="77777777" w:rsidR="007F69E4" w:rsidRPr="00E25906" w:rsidRDefault="007F69E4" w:rsidP="001A54D6">
            <w:pPr>
              <w:ind w:left="360"/>
              <w:jc w:val="both"/>
              <w:rPr>
                <w:rFonts w:cstheme="minorHAnsi"/>
              </w:rPr>
            </w:pPr>
          </w:p>
          <w:p w14:paraId="2C43FF45" w14:textId="77777777" w:rsidR="00D6110E" w:rsidRPr="00E25906" w:rsidRDefault="00D6110E" w:rsidP="001A54D6">
            <w:pPr>
              <w:ind w:left="360"/>
              <w:jc w:val="both"/>
              <w:rPr>
                <w:rFonts w:cstheme="minorHAnsi"/>
              </w:rPr>
            </w:pPr>
          </w:p>
          <w:p w14:paraId="1AF98151" w14:textId="6BB0F196" w:rsidR="00724D5E" w:rsidRPr="00E25906" w:rsidRDefault="00724D5E" w:rsidP="00724D5E">
            <w:pPr>
              <w:pStyle w:val="ListParagraph"/>
              <w:numPr>
                <w:ilvl w:val="0"/>
                <w:numId w:val="36"/>
              </w:numPr>
              <w:jc w:val="both"/>
              <w:rPr>
                <w:rFonts w:cstheme="minorHAnsi"/>
              </w:rPr>
            </w:pPr>
            <w:r w:rsidRPr="00E25906">
              <w:rPr>
                <w:rFonts w:cstheme="minorHAnsi"/>
              </w:rPr>
              <w:t xml:space="preserve">Tarptautinis Erasmus+ </w:t>
            </w:r>
            <w:r w:rsidR="00BF6095" w:rsidRPr="00E25906">
              <w:rPr>
                <w:rFonts w:cstheme="minorHAnsi"/>
              </w:rPr>
              <w:t>programos šalių</w:t>
            </w:r>
            <w:r w:rsidRPr="00E25906">
              <w:rPr>
                <w:rFonts w:cstheme="minorHAnsi"/>
              </w:rPr>
              <w:t xml:space="preserve"> aukštojo mokslo studentų ir darbuotojų mobilumas (išvykstamasis)</w:t>
            </w:r>
          </w:p>
        </w:tc>
        <w:tc>
          <w:tcPr>
            <w:tcW w:w="9498" w:type="dxa"/>
          </w:tcPr>
          <w:p w14:paraId="70E2CF36" w14:textId="38D93B61" w:rsidR="00724D5E" w:rsidRPr="00E25906" w:rsidRDefault="00724D5E" w:rsidP="009E155C">
            <w:pPr>
              <w:jc w:val="both"/>
              <w:rPr>
                <w:rFonts w:cstheme="minorHAnsi"/>
              </w:rPr>
            </w:pPr>
            <w:r w:rsidRPr="00E25906">
              <w:rPr>
                <w:rFonts w:cstheme="minorHAnsi"/>
              </w:rPr>
              <w:t xml:space="preserve">Siekiant </w:t>
            </w:r>
            <w:r w:rsidR="009971A8" w:rsidRPr="00E25906">
              <w:rPr>
                <w:rFonts w:cstheme="minorHAnsi"/>
              </w:rPr>
              <w:t>išlaikyti</w:t>
            </w:r>
            <w:r w:rsidRPr="00E25906">
              <w:rPr>
                <w:rFonts w:cstheme="minorHAnsi"/>
              </w:rPr>
              <w:t xml:space="preserve"> individualius mobilumo mainus, vyk</w:t>
            </w:r>
            <w:r w:rsidR="00CF59BF" w:rsidRPr="00E25906">
              <w:rPr>
                <w:rFonts w:cstheme="minorHAnsi"/>
              </w:rPr>
              <w:t>stančiuose</w:t>
            </w:r>
            <w:r w:rsidRPr="00E25906">
              <w:rPr>
                <w:rFonts w:cstheme="minorHAnsi"/>
              </w:rPr>
              <w:t xml:space="preserve"> </w:t>
            </w:r>
            <w:r w:rsidR="009971A8" w:rsidRPr="00E25906">
              <w:rPr>
                <w:rFonts w:cstheme="minorHAnsi"/>
              </w:rPr>
              <w:t>KA</w:t>
            </w:r>
            <w:r w:rsidR="00CF59BF" w:rsidRPr="00E25906">
              <w:rPr>
                <w:rFonts w:cstheme="minorHAnsi"/>
              </w:rPr>
              <w:t xml:space="preserve">107 veiklos </w:t>
            </w:r>
            <w:r w:rsidRPr="00E25906">
              <w:rPr>
                <w:rFonts w:cstheme="minorHAnsi"/>
              </w:rPr>
              <w:t>projek</w:t>
            </w:r>
            <w:r w:rsidR="00CF59BF" w:rsidRPr="00E25906">
              <w:rPr>
                <w:rFonts w:cstheme="minorHAnsi"/>
              </w:rPr>
              <w:t xml:space="preserve">tuose </w:t>
            </w:r>
            <w:r w:rsidRPr="00E25906">
              <w:rPr>
                <w:rFonts w:cstheme="minorHAnsi"/>
              </w:rPr>
              <w:t xml:space="preserve"> gali būti </w:t>
            </w:r>
            <w:r w:rsidR="00CF59BF" w:rsidRPr="00E25906">
              <w:rPr>
                <w:rFonts w:cstheme="minorHAnsi"/>
              </w:rPr>
              <w:t>vykdomi</w:t>
            </w:r>
            <w:r w:rsidRPr="00E25906">
              <w:rPr>
                <w:rFonts w:cstheme="minorHAnsi"/>
              </w:rPr>
              <w:t xml:space="preserve"> tiek atvykstanči</w:t>
            </w:r>
            <w:r w:rsidR="00CF59BF" w:rsidRPr="00E25906">
              <w:rPr>
                <w:rFonts w:cstheme="minorHAnsi"/>
              </w:rPr>
              <w:t>ųjų</w:t>
            </w:r>
            <w:r w:rsidRPr="00E25906">
              <w:rPr>
                <w:rFonts w:cstheme="minorHAnsi"/>
              </w:rPr>
              <w:t>, tiek išvykstan</w:t>
            </w:r>
            <w:r w:rsidR="00CF59BF" w:rsidRPr="00E25906">
              <w:rPr>
                <w:rFonts w:cstheme="minorHAnsi"/>
              </w:rPr>
              <w:t>čiųjų</w:t>
            </w:r>
            <w:r w:rsidRPr="00E25906">
              <w:rPr>
                <w:rFonts w:cstheme="minorHAnsi"/>
              </w:rPr>
              <w:t xml:space="preserve"> mobilum</w:t>
            </w:r>
            <w:r w:rsidR="00CF59BF" w:rsidRPr="00E25906">
              <w:rPr>
                <w:rFonts w:cstheme="minorHAnsi"/>
              </w:rPr>
              <w:t>ai</w:t>
            </w:r>
            <w:r w:rsidRPr="00E25906">
              <w:rPr>
                <w:rFonts w:cstheme="minorHAnsi"/>
              </w:rPr>
              <w:t>.</w:t>
            </w:r>
            <w:r w:rsidR="00BF6095" w:rsidRPr="00E25906">
              <w:rPr>
                <w:rFonts w:cstheme="minorHAnsi"/>
              </w:rPr>
              <w:t xml:space="preserve"> </w:t>
            </w:r>
          </w:p>
          <w:p w14:paraId="34D4A44E" w14:textId="77777777" w:rsidR="003E4D84" w:rsidRPr="00E25906" w:rsidRDefault="003E4D84" w:rsidP="009E155C">
            <w:pPr>
              <w:jc w:val="both"/>
              <w:rPr>
                <w:rFonts w:cstheme="minorHAnsi"/>
              </w:rPr>
            </w:pPr>
          </w:p>
          <w:p w14:paraId="5CB0055F" w14:textId="53D8E913" w:rsidR="003E4D84" w:rsidRPr="00E25906" w:rsidRDefault="00D95B68" w:rsidP="003E4D84">
            <w:pPr>
              <w:jc w:val="both"/>
              <w:rPr>
                <w:rFonts w:cstheme="minorHAnsi"/>
              </w:rPr>
            </w:pPr>
            <w:r>
              <w:rPr>
                <w:rFonts w:cstheme="minorHAnsi"/>
              </w:rPr>
              <w:t>D</w:t>
            </w:r>
            <w:r w:rsidR="003E4D84" w:rsidRPr="00E25906">
              <w:rPr>
                <w:rFonts w:cstheme="minorHAnsi"/>
              </w:rPr>
              <w:t>ar vykstan</w:t>
            </w:r>
            <w:r>
              <w:rPr>
                <w:rFonts w:cstheme="minorHAnsi"/>
              </w:rPr>
              <w:t>čių</w:t>
            </w:r>
            <w:r w:rsidR="003E4D84" w:rsidRPr="00E25906">
              <w:rPr>
                <w:rFonts w:cstheme="minorHAnsi"/>
              </w:rPr>
              <w:t xml:space="preserve"> KA107</w:t>
            </w:r>
            <w:r w:rsidR="00D6110E" w:rsidRPr="00E25906">
              <w:rPr>
                <w:rFonts w:cstheme="minorHAnsi"/>
              </w:rPr>
              <w:t xml:space="preserve"> veiklos </w:t>
            </w:r>
            <w:r w:rsidR="003E4D84" w:rsidRPr="00E25906">
              <w:rPr>
                <w:rFonts w:cstheme="minorHAnsi"/>
              </w:rPr>
              <w:t xml:space="preserve"> </w:t>
            </w:r>
            <w:r w:rsidR="00D6110E" w:rsidRPr="00E25906">
              <w:rPr>
                <w:rFonts w:cstheme="minorHAnsi"/>
              </w:rPr>
              <w:t>projekt</w:t>
            </w:r>
            <w:r>
              <w:rPr>
                <w:rFonts w:cstheme="minorHAnsi"/>
              </w:rPr>
              <w:t>ų</w:t>
            </w:r>
            <w:r w:rsidR="00D6110E" w:rsidRPr="00E25906">
              <w:rPr>
                <w:rFonts w:cstheme="minorHAnsi"/>
              </w:rPr>
              <w:t xml:space="preserve"> </w:t>
            </w:r>
            <w:r w:rsidR="003E4D84" w:rsidRPr="00E25906">
              <w:rPr>
                <w:rFonts w:cstheme="minorHAnsi"/>
              </w:rPr>
              <w:t>(2019</w:t>
            </w:r>
            <w:r w:rsidR="00A52B11" w:rsidRPr="00E25906">
              <w:rPr>
                <w:rFonts w:cstheme="minorHAnsi"/>
              </w:rPr>
              <w:t xml:space="preserve"> m.</w:t>
            </w:r>
            <w:r w:rsidR="003E4D84" w:rsidRPr="00E25906">
              <w:rPr>
                <w:rFonts w:cstheme="minorHAnsi"/>
              </w:rPr>
              <w:t xml:space="preserve"> ir 2020 m.) </w:t>
            </w:r>
            <w:r>
              <w:rPr>
                <w:rFonts w:cstheme="minorHAnsi"/>
              </w:rPr>
              <w:t xml:space="preserve">atveju, </w:t>
            </w:r>
            <w:r w:rsidR="00913FE4">
              <w:rPr>
                <w:rFonts w:cstheme="minorHAnsi"/>
              </w:rPr>
              <w:t xml:space="preserve">taikomas </w:t>
            </w:r>
            <w:r w:rsidR="003E4D84" w:rsidRPr="00E25906">
              <w:rPr>
                <w:rFonts w:cstheme="minorHAnsi"/>
              </w:rPr>
              <w:t xml:space="preserve">biudžeto lankstumas aukštojo mokslo institucijoms, kurios turi Rusiją ir Ukrainą </w:t>
            </w:r>
            <w:r w:rsidR="00D6110E" w:rsidRPr="00E25906">
              <w:rPr>
                <w:rFonts w:cstheme="minorHAnsi"/>
              </w:rPr>
              <w:t>atitinkamų metų</w:t>
            </w:r>
            <w:r w:rsidR="003E4D84" w:rsidRPr="00E25906">
              <w:rPr>
                <w:rFonts w:cstheme="minorHAnsi"/>
              </w:rPr>
              <w:t xml:space="preserve"> </w:t>
            </w:r>
            <w:r w:rsidR="00D6110E" w:rsidRPr="00E25906">
              <w:rPr>
                <w:rFonts w:cstheme="minorHAnsi"/>
              </w:rPr>
              <w:t>projekte</w:t>
            </w:r>
            <w:r w:rsidR="003E4D84" w:rsidRPr="00E25906">
              <w:rPr>
                <w:rFonts w:cstheme="minorHAnsi"/>
              </w:rPr>
              <w:t>: leidžiama panaudoti nepaskirstytas lėšas iš mobilumams su Rusija skirto  biudžeto, perkeliant šias lėšas mobilumams iš Ukrainos</w:t>
            </w:r>
            <w:r w:rsidR="00D6110E" w:rsidRPr="00E25906">
              <w:rPr>
                <w:rFonts w:cstheme="minorHAnsi"/>
              </w:rPr>
              <w:t xml:space="preserve"> finansuoti</w:t>
            </w:r>
            <w:r w:rsidR="00BE252A" w:rsidRPr="00E25906">
              <w:rPr>
                <w:rFonts w:cstheme="minorHAnsi"/>
              </w:rPr>
              <w:t xml:space="preserve">. </w:t>
            </w:r>
            <w:r w:rsidR="003E4D84" w:rsidRPr="00E25906">
              <w:rPr>
                <w:rFonts w:cstheme="minorHAnsi"/>
              </w:rPr>
              <w:t xml:space="preserve">Norint pasinaudoti šiuo lankstumu, būtina teikti prašymą </w:t>
            </w:r>
            <w:r w:rsidR="00CC3438" w:rsidRPr="00E25906">
              <w:rPr>
                <w:rFonts w:cstheme="minorHAnsi"/>
              </w:rPr>
              <w:t>Švietimo mainų paramos fondui</w:t>
            </w:r>
            <w:r w:rsidR="003E4D84" w:rsidRPr="00E25906">
              <w:rPr>
                <w:rFonts w:cstheme="minorHAnsi"/>
              </w:rPr>
              <w:t xml:space="preserve">. </w:t>
            </w:r>
          </w:p>
          <w:p w14:paraId="3E9BB4A9" w14:textId="77777777" w:rsidR="0045394F" w:rsidRPr="00E25906" w:rsidRDefault="0045394F" w:rsidP="009E155C">
            <w:pPr>
              <w:jc w:val="both"/>
              <w:rPr>
                <w:rFonts w:cstheme="minorHAnsi"/>
              </w:rPr>
            </w:pPr>
          </w:p>
          <w:p w14:paraId="48343773" w14:textId="7D607B60" w:rsidR="00724D5E" w:rsidRPr="00E25906" w:rsidRDefault="00724D5E" w:rsidP="009E155C">
            <w:pPr>
              <w:jc w:val="both"/>
              <w:rPr>
                <w:rFonts w:cstheme="minorHAnsi"/>
              </w:rPr>
            </w:pPr>
            <w:r w:rsidRPr="00E25906">
              <w:rPr>
                <w:rFonts w:cstheme="minorHAnsi"/>
              </w:rPr>
              <w:t xml:space="preserve">Pagal 2021 m. kvietimą vykdomi tarptautiniai „Erasmus+“ </w:t>
            </w:r>
            <w:r w:rsidR="00FA7F87" w:rsidRPr="00E25906">
              <w:rPr>
                <w:rFonts w:cstheme="minorHAnsi"/>
              </w:rPr>
              <w:t>Programos šalių</w:t>
            </w:r>
            <w:r w:rsidRPr="00E25906">
              <w:rPr>
                <w:rFonts w:cstheme="minorHAnsi"/>
              </w:rPr>
              <w:t xml:space="preserve"> aukštojo mokslo</w:t>
            </w:r>
            <w:r w:rsidR="00FA7F87" w:rsidRPr="00E25906">
              <w:rPr>
                <w:rFonts w:cstheme="minorHAnsi"/>
              </w:rPr>
              <w:t xml:space="preserve"> </w:t>
            </w:r>
            <w:r w:rsidRPr="00E25906">
              <w:rPr>
                <w:rFonts w:cstheme="minorHAnsi"/>
              </w:rPr>
              <w:t>studentų ir darbuotojų mobilumo į Rusiją mainai (išvykstamasis mobilumas) gali būti tęsiam</w:t>
            </w:r>
            <w:r w:rsidR="0045394F" w:rsidRPr="00E25906">
              <w:rPr>
                <w:rFonts w:cstheme="minorHAnsi"/>
              </w:rPr>
              <w:t>i</w:t>
            </w:r>
            <w:r w:rsidR="00602F4C" w:rsidRPr="00E25906">
              <w:rPr>
                <w:rFonts w:cstheme="minorHAnsi"/>
              </w:rPr>
              <w:t xml:space="preserve"> (KA103, KA131)</w:t>
            </w:r>
            <w:r w:rsidRPr="00E25906">
              <w:rPr>
                <w:rFonts w:cstheme="minorHAnsi"/>
              </w:rPr>
              <w:t>.</w:t>
            </w:r>
            <w:r w:rsidR="00FA7F87" w:rsidRPr="00E25906">
              <w:rPr>
                <w:rFonts w:cstheme="minorHAnsi"/>
              </w:rPr>
              <w:t xml:space="preserve"> </w:t>
            </w:r>
          </w:p>
          <w:p w14:paraId="7D642884" w14:textId="77777777" w:rsidR="00FA7F87" w:rsidRPr="00E25906" w:rsidRDefault="00FA7F87" w:rsidP="009E155C">
            <w:pPr>
              <w:jc w:val="both"/>
              <w:rPr>
                <w:rFonts w:cstheme="minorHAnsi"/>
              </w:rPr>
            </w:pPr>
          </w:p>
          <w:p w14:paraId="39111BE4" w14:textId="08F697D3" w:rsidR="00BC232A" w:rsidRPr="00E25906" w:rsidRDefault="00BC232A" w:rsidP="00BC232A">
            <w:pPr>
              <w:jc w:val="both"/>
              <w:rPr>
                <w:rFonts w:cstheme="minorHAnsi"/>
              </w:rPr>
            </w:pPr>
            <w:r w:rsidRPr="00E25906">
              <w:rPr>
                <w:rFonts w:cstheme="minorHAnsi"/>
              </w:rPr>
              <w:t xml:space="preserve">Vykdant mobilumus su Rusija turi būti atsižvelgta į Lietuvoje ir kitose ES šalyse įgyvendinamas tarptautines sankcijas skelbiamas LR užsienio reikalų ministerijos interneto svetainėje </w:t>
            </w:r>
            <w:hyperlink r:id="rId17" w:history="1">
              <w:r w:rsidRPr="00E25906">
                <w:rPr>
                  <w:rStyle w:val="Hyperlink"/>
                  <w:rFonts w:cstheme="minorHAnsi"/>
                </w:rPr>
                <w:t>https://www.urm.lt/sankcijos</w:t>
              </w:r>
            </w:hyperlink>
          </w:p>
          <w:p w14:paraId="16401D82" w14:textId="00737735" w:rsidR="00724D5E" w:rsidRPr="00E25906" w:rsidRDefault="00724D5E" w:rsidP="009E155C">
            <w:pPr>
              <w:jc w:val="both"/>
              <w:rPr>
                <w:rFonts w:cstheme="minorHAnsi"/>
              </w:rPr>
            </w:pPr>
          </w:p>
        </w:tc>
      </w:tr>
      <w:tr w:rsidR="00724D5E" w:rsidRPr="00E25906" w14:paraId="072E2BF8" w14:textId="77777777" w:rsidTr="008A6B7B">
        <w:tc>
          <w:tcPr>
            <w:tcW w:w="14312" w:type="dxa"/>
            <w:gridSpan w:val="2"/>
          </w:tcPr>
          <w:p w14:paraId="4865DF23" w14:textId="68B0CCFF" w:rsidR="00724D5E" w:rsidRPr="00E25906" w:rsidRDefault="00724D5E" w:rsidP="00CF59BF">
            <w:pPr>
              <w:jc w:val="both"/>
              <w:rPr>
                <w:rFonts w:cstheme="minorHAnsi"/>
                <w:b/>
                <w:bCs/>
              </w:rPr>
            </w:pPr>
            <w:r w:rsidRPr="00E25906">
              <w:rPr>
                <w:rFonts w:cstheme="minorHAnsi"/>
                <w:b/>
                <w:bCs/>
              </w:rPr>
              <w:t xml:space="preserve">2. Projektai, pateikti pagal „Erasmus+“ </w:t>
            </w:r>
            <w:r w:rsidR="00A26485" w:rsidRPr="00E25906">
              <w:rPr>
                <w:rFonts w:cstheme="minorHAnsi"/>
                <w:b/>
                <w:bCs/>
              </w:rPr>
              <w:t>programos</w:t>
            </w:r>
            <w:r w:rsidR="007522AD" w:rsidRPr="00E25906">
              <w:rPr>
                <w:rFonts w:cstheme="minorHAnsi"/>
                <w:b/>
                <w:bCs/>
              </w:rPr>
              <w:t xml:space="preserve"> </w:t>
            </w:r>
            <w:r w:rsidRPr="00E25906">
              <w:rPr>
                <w:rFonts w:cstheme="minorHAnsi"/>
                <w:b/>
                <w:bCs/>
              </w:rPr>
              <w:t xml:space="preserve">2022 </w:t>
            </w:r>
            <w:r w:rsidR="00A26485" w:rsidRPr="00E25906">
              <w:rPr>
                <w:rFonts w:cstheme="minorHAnsi"/>
                <w:b/>
                <w:bCs/>
              </w:rPr>
              <w:t xml:space="preserve">m. </w:t>
            </w:r>
            <w:r w:rsidRPr="00E25906">
              <w:rPr>
                <w:rFonts w:cstheme="minorHAnsi"/>
                <w:b/>
                <w:bCs/>
              </w:rPr>
              <w:t>kvietimą, kurių atranka jau yra arba bus vykdoma</w:t>
            </w:r>
          </w:p>
        </w:tc>
      </w:tr>
      <w:tr w:rsidR="00724D5E" w:rsidRPr="00E25906" w14:paraId="66A23036" w14:textId="77777777" w:rsidTr="008A6B7B">
        <w:tc>
          <w:tcPr>
            <w:tcW w:w="4814" w:type="dxa"/>
          </w:tcPr>
          <w:p w14:paraId="11596BF0" w14:textId="77777777" w:rsidR="00724D5E" w:rsidRPr="00E25906" w:rsidRDefault="00724D5E" w:rsidP="009E155C">
            <w:pPr>
              <w:jc w:val="both"/>
              <w:rPr>
                <w:rFonts w:cstheme="minorHAnsi"/>
                <w:b/>
                <w:bCs/>
              </w:rPr>
            </w:pPr>
            <w:r w:rsidRPr="00E25906">
              <w:rPr>
                <w:rFonts w:cstheme="minorHAnsi"/>
                <w:b/>
                <w:bCs/>
              </w:rPr>
              <w:t>„Erasmus+“ mobilumas</w:t>
            </w:r>
          </w:p>
          <w:p w14:paraId="2E8E9B6C" w14:textId="0EA22A65" w:rsidR="00724D5E" w:rsidRPr="00E25906" w:rsidRDefault="00724D5E" w:rsidP="00724D5E">
            <w:pPr>
              <w:pStyle w:val="ListParagraph"/>
              <w:numPr>
                <w:ilvl w:val="0"/>
                <w:numId w:val="37"/>
              </w:numPr>
              <w:jc w:val="both"/>
              <w:rPr>
                <w:rFonts w:cstheme="minorHAnsi"/>
              </w:rPr>
            </w:pPr>
            <w:r w:rsidRPr="00E25906">
              <w:rPr>
                <w:rFonts w:cstheme="minorHAnsi"/>
              </w:rPr>
              <w:t>Tarptautini</w:t>
            </w:r>
            <w:r w:rsidR="00602F4C" w:rsidRPr="00E25906">
              <w:rPr>
                <w:rFonts w:cstheme="minorHAnsi"/>
              </w:rPr>
              <w:t>s</w:t>
            </w:r>
            <w:r w:rsidRPr="00E25906">
              <w:rPr>
                <w:rFonts w:cstheme="minorHAnsi"/>
              </w:rPr>
              <w:t xml:space="preserve"> mobilumas – </w:t>
            </w:r>
            <w:r w:rsidR="00CF59BF" w:rsidRPr="00E25906">
              <w:rPr>
                <w:rFonts w:cstheme="minorHAnsi"/>
              </w:rPr>
              <w:t>KA171</w:t>
            </w:r>
            <w:r w:rsidRPr="00E25906">
              <w:rPr>
                <w:rFonts w:cstheme="minorHAnsi"/>
              </w:rPr>
              <w:t xml:space="preserve"> </w:t>
            </w:r>
          </w:p>
          <w:p w14:paraId="56B656EC" w14:textId="77777777" w:rsidR="00D6110E" w:rsidRPr="00E25906" w:rsidRDefault="00D6110E" w:rsidP="001A54D6">
            <w:pPr>
              <w:pStyle w:val="ListParagraph"/>
              <w:jc w:val="both"/>
              <w:rPr>
                <w:rFonts w:cstheme="minorHAnsi"/>
              </w:rPr>
            </w:pPr>
          </w:p>
          <w:p w14:paraId="2C31804A" w14:textId="77777777" w:rsidR="00D6110E" w:rsidRPr="00E25906" w:rsidRDefault="00D6110E" w:rsidP="001A54D6">
            <w:pPr>
              <w:pStyle w:val="ListParagraph"/>
              <w:jc w:val="both"/>
              <w:rPr>
                <w:rFonts w:cstheme="minorHAnsi"/>
              </w:rPr>
            </w:pPr>
          </w:p>
          <w:p w14:paraId="02136796" w14:textId="77777777" w:rsidR="00D6110E" w:rsidRPr="00E25906" w:rsidRDefault="00D6110E" w:rsidP="001A54D6">
            <w:pPr>
              <w:pStyle w:val="ListParagraph"/>
              <w:jc w:val="both"/>
              <w:rPr>
                <w:rFonts w:cstheme="minorHAnsi"/>
              </w:rPr>
            </w:pPr>
          </w:p>
          <w:p w14:paraId="3D798AA8" w14:textId="77777777" w:rsidR="00D6110E" w:rsidRPr="00E25906" w:rsidRDefault="00D6110E" w:rsidP="001A54D6">
            <w:pPr>
              <w:pStyle w:val="ListParagraph"/>
              <w:jc w:val="both"/>
              <w:rPr>
                <w:rFonts w:cstheme="minorHAnsi"/>
              </w:rPr>
            </w:pPr>
          </w:p>
          <w:p w14:paraId="63791A91" w14:textId="3DF05FD2" w:rsidR="00D6110E" w:rsidRPr="00E25906" w:rsidRDefault="00CC3438" w:rsidP="001A54D6">
            <w:pPr>
              <w:pStyle w:val="ListParagraph"/>
              <w:jc w:val="both"/>
              <w:rPr>
                <w:rFonts w:cstheme="minorHAnsi"/>
              </w:rPr>
            </w:pPr>
            <w:r w:rsidRPr="00E25906">
              <w:rPr>
                <w:rFonts w:cstheme="minorHAnsi"/>
              </w:rPr>
              <w:t xml:space="preserve"> </w:t>
            </w:r>
          </w:p>
          <w:p w14:paraId="2FED51C8" w14:textId="47100325" w:rsidR="00724D5E" w:rsidRPr="00E25906" w:rsidRDefault="00CC3438" w:rsidP="00724D5E">
            <w:pPr>
              <w:pStyle w:val="ListParagraph"/>
              <w:numPr>
                <w:ilvl w:val="0"/>
                <w:numId w:val="37"/>
              </w:numPr>
              <w:jc w:val="both"/>
              <w:rPr>
                <w:rFonts w:cstheme="minorHAnsi"/>
              </w:rPr>
            </w:pPr>
            <w:r w:rsidRPr="00E25906">
              <w:rPr>
                <w:rFonts w:cstheme="minorHAnsi"/>
              </w:rPr>
              <w:t xml:space="preserve">Tarptautinis Erasmus+ programos šalių aukštojo mokslo studentų ir darbuotojų mobilumas – </w:t>
            </w:r>
            <w:r w:rsidR="00724D5E" w:rsidRPr="00E25906">
              <w:rPr>
                <w:rFonts w:cstheme="minorHAnsi"/>
              </w:rPr>
              <w:t>KA131</w:t>
            </w:r>
          </w:p>
        </w:tc>
        <w:tc>
          <w:tcPr>
            <w:tcW w:w="9498" w:type="dxa"/>
          </w:tcPr>
          <w:p w14:paraId="3E672D70" w14:textId="7068246C" w:rsidR="00724D5E" w:rsidRPr="00E25906" w:rsidRDefault="00724D5E" w:rsidP="009E155C">
            <w:pPr>
              <w:jc w:val="both"/>
              <w:rPr>
                <w:rFonts w:cstheme="minorHAnsi"/>
              </w:rPr>
            </w:pPr>
            <w:r w:rsidRPr="00E25906">
              <w:rPr>
                <w:rFonts w:cstheme="minorHAnsi"/>
              </w:rPr>
              <w:t xml:space="preserve">Siekiant </w:t>
            </w:r>
            <w:r w:rsidR="00CF59BF" w:rsidRPr="00E25906">
              <w:rPr>
                <w:rFonts w:cstheme="minorHAnsi"/>
              </w:rPr>
              <w:t>išlaikyti</w:t>
            </w:r>
            <w:r w:rsidRPr="00E25906">
              <w:rPr>
                <w:rFonts w:cstheme="minorHAnsi"/>
              </w:rPr>
              <w:t xml:space="preserve"> asmenų mobilumo mainus, naujų </w:t>
            </w:r>
            <w:r w:rsidR="00CF59BF" w:rsidRPr="00E25906">
              <w:rPr>
                <w:rFonts w:cstheme="minorHAnsi"/>
              </w:rPr>
              <w:t xml:space="preserve">KA171 veiklos </w:t>
            </w:r>
            <w:r w:rsidRPr="00E25906">
              <w:rPr>
                <w:rFonts w:cstheme="minorHAnsi"/>
              </w:rPr>
              <w:t>projektų, kuriuose dalyvauja Rusija, atrankos ir sutarčių sudarymo procesas gali būti tęsiamas</w:t>
            </w:r>
            <w:r w:rsidR="00CF59BF" w:rsidRPr="00E25906">
              <w:rPr>
                <w:rFonts w:cstheme="minorHAnsi"/>
              </w:rPr>
              <w:t xml:space="preserve"> numatant</w:t>
            </w:r>
            <w:r w:rsidRPr="00E25906">
              <w:rPr>
                <w:rFonts w:cstheme="minorHAnsi"/>
              </w:rPr>
              <w:t xml:space="preserve"> tiek atvykstanč</w:t>
            </w:r>
            <w:r w:rsidR="00CF59BF" w:rsidRPr="00E25906">
              <w:rPr>
                <w:rFonts w:cstheme="minorHAnsi"/>
              </w:rPr>
              <w:t>iųjų</w:t>
            </w:r>
            <w:r w:rsidRPr="00E25906">
              <w:rPr>
                <w:rFonts w:cstheme="minorHAnsi"/>
              </w:rPr>
              <w:t>, tiek išvykstanč</w:t>
            </w:r>
            <w:r w:rsidR="00CF59BF" w:rsidRPr="00E25906">
              <w:rPr>
                <w:rFonts w:cstheme="minorHAnsi"/>
              </w:rPr>
              <w:t>iųjų</w:t>
            </w:r>
            <w:r w:rsidRPr="00E25906">
              <w:rPr>
                <w:rFonts w:cstheme="minorHAnsi"/>
              </w:rPr>
              <w:t xml:space="preserve"> mobilumu</w:t>
            </w:r>
            <w:r w:rsidR="00CF59BF" w:rsidRPr="00E25906">
              <w:rPr>
                <w:rFonts w:cstheme="minorHAnsi"/>
              </w:rPr>
              <w:t>s</w:t>
            </w:r>
            <w:r w:rsidRPr="00E25906">
              <w:rPr>
                <w:rFonts w:cstheme="minorHAnsi"/>
              </w:rPr>
              <w:t>.</w:t>
            </w:r>
          </w:p>
          <w:p w14:paraId="45EE0158" w14:textId="7A31CC57" w:rsidR="00D6110E" w:rsidRPr="00E25906" w:rsidRDefault="00D6110E" w:rsidP="009E155C">
            <w:pPr>
              <w:jc w:val="both"/>
              <w:rPr>
                <w:rFonts w:cstheme="minorHAnsi"/>
              </w:rPr>
            </w:pPr>
            <w:r w:rsidRPr="00E25906">
              <w:rPr>
                <w:rFonts w:cstheme="minorHAnsi"/>
              </w:rPr>
              <w:t>Finansuotuose 2022 m. KA171 veiklos projektuose, kuriuose finansavimas bus gautas tiek Rusijai, tiek Ukrainai, bus galima bet kuriuo projekto įgyvendinimo momentu be sutarčių pakeitimų pervesti finansavimą iš mobilumų su Rusija į mobilumus su Ukraina, siekiant paskatinti atvykstančių iš Ukrainos mobilumą.</w:t>
            </w:r>
          </w:p>
          <w:p w14:paraId="25802320" w14:textId="77777777" w:rsidR="00D6110E" w:rsidRPr="00E25906" w:rsidRDefault="00D6110E" w:rsidP="009E155C">
            <w:pPr>
              <w:jc w:val="both"/>
              <w:rPr>
                <w:rFonts w:cstheme="minorHAnsi"/>
              </w:rPr>
            </w:pPr>
          </w:p>
          <w:p w14:paraId="1746FBFB" w14:textId="1BCAFA78" w:rsidR="00724D5E" w:rsidRPr="00E25906" w:rsidRDefault="00724D5E" w:rsidP="009E155C">
            <w:pPr>
              <w:jc w:val="both"/>
              <w:rPr>
                <w:rFonts w:cstheme="minorHAnsi"/>
              </w:rPr>
            </w:pPr>
            <w:r w:rsidRPr="00E25906">
              <w:rPr>
                <w:rFonts w:cstheme="minorHAnsi"/>
              </w:rPr>
              <w:t xml:space="preserve">Pagal 2022 m. kvietimą gali </w:t>
            </w:r>
            <w:r w:rsidR="00FA7F87" w:rsidRPr="00E25906">
              <w:rPr>
                <w:rFonts w:cstheme="minorHAnsi"/>
              </w:rPr>
              <w:t>būti tęsiamas</w:t>
            </w:r>
            <w:r w:rsidRPr="00E25906">
              <w:rPr>
                <w:rFonts w:cstheme="minorHAnsi"/>
              </w:rPr>
              <w:t xml:space="preserve"> tarptautinis „Erasmus+“ </w:t>
            </w:r>
            <w:r w:rsidR="00FA7F87" w:rsidRPr="00E25906">
              <w:rPr>
                <w:rFonts w:cstheme="minorHAnsi"/>
              </w:rPr>
              <w:t xml:space="preserve">Programos asocijuotųjų trečiųjų valstybių </w:t>
            </w:r>
            <w:r w:rsidRPr="00E25906">
              <w:rPr>
                <w:rFonts w:cstheme="minorHAnsi"/>
              </w:rPr>
              <w:t>aukštojo</w:t>
            </w:r>
            <w:r w:rsidR="00FA7F87" w:rsidRPr="00E25906">
              <w:rPr>
                <w:rFonts w:cstheme="minorHAnsi"/>
              </w:rPr>
              <w:t xml:space="preserve"> mokslo</w:t>
            </w:r>
            <w:r w:rsidRPr="00E25906">
              <w:rPr>
                <w:rFonts w:cstheme="minorHAnsi"/>
              </w:rPr>
              <w:t xml:space="preserve"> studentų ir darbuotojų mobilumas</w:t>
            </w:r>
            <w:r w:rsidR="00602F4C" w:rsidRPr="00E25906">
              <w:rPr>
                <w:rFonts w:cstheme="minorHAnsi"/>
              </w:rPr>
              <w:t xml:space="preserve"> (KA131)</w:t>
            </w:r>
            <w:r w:rsidRPr="00E25906">
              <w:rPr>
                <w:rFonts w:cstheme="minorHAnsi"/>
              </w:rPr>
              <w:t xml:space="preserve"> į Rusiją (išvykstamasis mobilumas).</w:t>
            </w:r>
          </w:p>
          <w:p w14:paraId="5BAF75B4" w14:textId="75435DE4" w:rsidR="00FA7F87" w:rsidRPr="00E25906" w:rsidRDefault="00FA7F87" w:rsidP="009E155C">
            <w:pPr>
              <w:jc w:val="both"/>
              <w:rPr>
                <w:rFonts w:cstheme="minorHAnsi"/>
              </w:rPr>
            </w:pPr>
          </w:p>
          <w:p w14:paraId="193D7AF1" w14:textId="4FCBBC63" w:rsidR="00724D5E" w:rsidRPr="00E25906" w:rsidRDefault="00FA7F87" w:rsidP="008A6B7B">
            <w:pPr>
              <w:jc w:val="both"/>
              <w:rPr>
                <w:rFonts w:cstheme="minorHAnsi"/>
              </w:rPr>
            </w:pPr>
            <w:r w:rsidRPr="00E25906">
              <w:rPr>
                <w:rFonts w:cstheme="minorHAnsi"/>
              </w:rPr>
              <w:lastRenderedPageBreak/>
              <w:t xml:space="preserve">Vykdant mobilumus su Rusija </w:t>
            </w:r>
            <w:r w:rsidR="00B22EC6" w:rsidRPr="00E25906">
              <w:rPr>
                <w:rFonts w:cstheme="minorHAnsi"/>
              </w:rPr>
              <w:t xml:space="preserve">turi būti atsižvelgta </w:t>
            </w:r>
            <w:r w:rsidR="00BC232A" w:rsidRPr="00E25906">
              <w:rPr>
                <w:rFonts w:cstheme="minorHAnsi"/>
              </w:rPr>
              <w:t xml:space="preserve">į </w:t>
            </w:r>
            <w:r w:rsidR="00B22EC6" w:rsidRPr="00E25906">
              <w:rPr>
                <w:rFonts w:cstheme="minorHAnsi"/>
              </w:rPr>
              <w:t>Lietuvoje ir kitose ES šalyse įgyvendinamas tarptautines sankcijas</w:t>
            </w:r>
            <w:r w:rsidR="00287A2C" w:rsidRPr="00E25906">
              <w:rPr>
                <w:rFonts w:cstheme="minorHAnsi"/>
              </w:rPr>
              <w:t xml:space="preserve"> </w:t>
            </w:r>
            <w:r w:rsidR="00370DED" w:rsidRPr="00E25906">
              <w:rPr>
                <w:rFonts w:cstheme="minorHAnsi"/>
              </w:rPr>
              <w:t xml:space="preserve">skelbiamas </w:t>
            </w:r>
            <w:bookmarkStart w:id="4" w:name="_Hlk102744920"/>
            <w:r w:rsidR="00370DED" w:rsidRPr="00E25906">
              <w:rPr>
                <w:rFonts w:cstheme="minorHAnsi"/>
              </w:rPr>
              <w:t>LR užsienio reikalų ministerijos interneto svetainėje</w:t>
            </w:r>
            <w:bookmarkEnd w:id="4"/>
            <w:r w:rsidRPr="00E25906">
              <w:rPr>
                <w:rFonts w:cstheme="minorHAnsi"/>
              </w:rPr>
              <w:t xml:space="preserve">: </w:t>
            </w:r>
            <w:hyperlink r:id="rId18" w:history="1">
              <w:r w:rsidRPr="00E25906">
                <w:rPr>
                  <w:rStyle w:val="Hyperlink"/>
                  <w:rFonts w:cstheme="minorHAnsi"/>
                </w:rPr>
                <w:t>https://www.urm.lt/sankcijos</w:t>
              </w:r>
            </w:hyperlink>
            <w:r w:rsidR="008A6B7B">
              <w:rPr>
                <w:rStyle w:val="Hyperlink"/>
                <w:rFonts w:cstheme="minorHAnsi"/>
              </w:rPr>
              <w:t xml:space="preserve"> </w:t>
            </w:r>
          </w:p>
        </w:tc>
      </w:tr>
    </w:tbl>
    <w:p w14:paraId="4A718279" w14:textId="5BD6B1E7" w:rsidR="00724D5E" w:rsidRPr="00E25906" w:rsidRDefault="009F46FC">
      <w:pPr>
        <w:spacing w:after="0" w:line="240" w:lineRule="auto"/>
        <w:rPr>
          <w:rFonts w:cstheme="minorHAnsi"/>
        </w:rPr>
      </w:pPr>
      <w:bookmarkStart w:id="5" w:name="_Hlk103086563"/>
      <w:bookmarkEnd w:id="3"/>
      <w:r>
        <w:rPr>
          <w:rFonts w:cstheme="minorHAnsi"/>
        </w:rPr>
        <w:lastRenderedPageBreak/>
        <w:t>Švietimo mainų paramos fondas</w:t>
      </w:r>
      <w:r w:rsidR="00A26485" w:rsidRPr="00E25906">
        <w:rPr>
          <w:rFonts w:cstheme="minorHAnsi"/>
        </w:rPr>
        <w:t xml:space="preserve"> </w:t>
      </w:r>
      <w:bookmarkEnd w:id="5"/>
      <w:r w:rsidR="00A26485" w:rsidRPr="00E25906">
        <w:rPr>
          <w:rFonts w:cstheme="minorHAnsi"/>
        </w:rPr>
        <w:t>skatina neskirti Rusijos siunčiančiosioms/ priimančiosioms organizacijoms  mobilumo organizavimo lėšų mobilumams į/iš Rusijos.</w:t>
      </w:r>
    </w:p>
    <w:p w14:paraId="74507514" w14:textId="538EF657" w:rsidR="00A55CDA" w:rsidRPr="00E25906" w:rsidRDefault="00A55CDA">
      <w:pPr>
        <w:spacing w:after="0" w:line="240" w:lineRule="auto"/>
        <w:rPr>
          <w:rFonts w:cstheme="minorHAnsi"/>
        </w:rPr>
      </w:pPr>
    </w:p>
    <w:p w14:paraId="626F4C6F" w14:textId="4C3EB48E" w:rsidR="00A55CDA" w:rsidRPr="00E25906" w:rsidRDefault="00A55CDA" w:rsidP="00A55CDA">
      <w:pPr>
        <w:spacing w:after="0" w:line="240" w:lineRule="auto"/>
        <w:jc w:val="both"/>
        <w:rPr>
          <w:rFonts w:cstheme="minorHAnsi"/>
        </w:rPr>
      </w:pPr>
      <w:r w:rsidRPr="00E25906">
        <w:rPr>
          <w:rFonts w:cstheme="minorHAnsi"/>
        </w:rPr>
        <w:t xml:space="preserve">Aukštosios mokyklos svarstydamos siųsti mobilumo dalyvius į Rusiją, turi atidžiai įvertinti dalyvių saugumą ir atsižvelgti į nacionalines kelionių rekomendacijas. Kelionių rekomendacijas galima rasti </w:t>
      </w:r>
      <w:r w:rsidR="005612DB" w:rsidRPr="00E25906">
        <w:rPr>
          <w:rFonts w:cstheme="minorHAnsi"/>
        </w:rPr>
        <w:t>LR užsienio reikalų ministerijos interneto svetainėje</w:t>
      </w:r>
      <w:r w:rsidRPr="00E25906">
        <w:rPr>
          <w:rFonts w:cstheme="minorHAnsi"/>
        </w:rPr>
        <w:t xml:space="preserve"> </w:t>
      </w:r>
      <w:hyperlink r:id="rId19" w:history="1">
        <w:r w:rsidRPr="00E25906">
          <w:rPr>
            <w:rStyle w:val="Hyperlink"/>
            <w:rFonts w:cstheme="minorHAnsi"/>
          </w:rPr>
          <w:t>https://keliauk.urm.lt/</w:t>
        </w:r>
      </w:hyperlink>
      <w:r w:rsidR="00BC232A" w:rsidRPr="00E25906">
        <w:rPr>
          <w:rFonts w:cstheme="minorHAnsi"/>
        </w:rPr>
        <w:t xml:space="preserve">, </w:t>
      </w:r>
      <w:r w:rsidRPr="00E25906">
        <w:rPr>
          <w:rFonts w:cstheme="minorHAnsi"/>
        </w:rPr>
        <w:t xml:space="preserve"> </w:t>
      </w:r>
      <w:hyperlink r:id="rId20" w:history="1">
        <w:r w:rsidR="00DA64E1" w:rsidRPr="00E25906">
          <w:rPr>
            <w:rStyle w:val="Hyperlink"/>
            <w:rFonts w:cstheme="minorHAnsi"/>
          </w:rPr>
          <w:t>https://keliauk.urm.lt/naujienos?keyword=Rusija&amp;datefrom=&amp;dateto=&amp;country</w:t>
        </w:r>
      </w:hyperlink>
      <w:r w:rsidR="005612DB" w:rsidRPr="00E25906">
        <w:rPr>
          <w:rFonts w:cstheme="minorHAnsi"/>
        </w:rPr>
        <w:t>=</w:t>
      </w:r>
      <w:r w:rsidR="00DA64E1" w:rsidRPr="00E25906">
        <w:rPr>
          <w:rFonts w:cstheme="minorHAnsi"/>
        </w:rPr>
        <w:t xml:space="preserve"> </w:t>
      </w:r>
    </w:p>
    <w:p w14:paraId="627A4DDC" w14:textId="0909E5F7" w:rsidR="00CB5D2B" w:rsidRPr="00E25906" w:rsidRDefault="00CB5D2B">
      <w:pPr>
        <w:spacing w:after="0" w:line="240" w:lineRule="auto"/>
        <w:rPr>
          <w:rFonts w:cstheme="minorHAnsi"/>
        </w:rPr>
      </w:pPr>
    </w:p>
    <w:p w14:paraId="5802A8F6" w14:textId="7BC6CC2B" w:rsidR="00CB5D2B" w:rsidRPr="00E25906" w:rsidRDefault="00CB5D2B" w:rsidP="00CB5D2B">
      <w:pPr>
        <w:spacing w:after="0" w:line="240" w:lineRule="auto"/>
        <w:jc w:val="both"/>
        <w:rPr>
          <w:rFonts w:cstheme="minorHAnsi"/>
          <w:b/>
          <w:color w:val="000000" w:themeColor="text1"/>
        </w:rPr>
      </w:pPr>
      <w:r w:rsidRPr="00E25906">
        <w:rPr>
          <w:rFonts w:cstheme="minorHAnsi"/>
          <w:b/>
          <w:color w:val="000000" w:themeColor="text1"/>
        </w:rPr>
        <w:t>Specialios programos „Erasmus+“  Strateginių partnerysčių KA203, KA226, Bendradarbiavimo partnerysčių KA</w:t>
      </w:r>
      <w:r w:rsidR="008F6C0B" w:rsidRPr="00E25906">
        <w:rPr>
          <w:rFonts w:cstheme="minorHAnsi"/>
          <w:b/>
          <w:color w:val="000000" w:themeColor="text1"/>
        </w:rPr>
        <w:t>220</w:t>
      </w:r>
      <w:r w:rsidRPr="00E25906">
        <w:rPr>
          <w:rFonts w:cstheme="minorHAnsi"/>
          <w:b/>
          <w:color w:val="000000" w:themeColor="text1"/>
        </w:rPr>
        <w:t xml:space="preserve"> projektų su </w:t>
      </w:r>
      <w:r w:rsidR="008F6C0B" w:rsidRPr="00E25906">
        <w:rPr>
          <w:rFonts w:cstheme="minorHAnsi"/>
          <w:b/>
          <w:color w:val="000000" w:themeColor="text1"/>
        </w:rPr>
        <w:t>Rusija</w:t>
      </w:r>
      <w:r w:rsidRPr="00E25906">
        <w:rPr>
          <w:rFonts w:cstheme="minorHAnsi"/>
          <w:b/>
          <w:color w:val="000000" w:themeColor="text1"/>
        </w:rPr>
        <w:t xml:space="preserve"> įgyvendinimo gairės</w:t>
      </w:r>
    </w:p>
    <w:p w14:paraId="149394B8" w14:textId="7CBD1D7F" w:rsidR="008F6C0B" w:rsidRPr="00E25906" w:rsidRDefault="008F6C0B" w:rsidP="00CB5D2B">
      <w:pPr>
        <w:spacing w:after="0" w:line="240" w:lineRule="auto"/>
        <w:jc w:val="both"/>
        <w:rPr>
          <w:rFonts w:cstheme="minorHAnsi"/>
          <w:color w:val="000000" w:themeColor="text1"/>
        </w:rPr>
      </w:pPr>
    </w:p>
    <w:p w14:paraId="7E219C5A" w14:textId="7BD0B925" w:rsidR="008F6C0B" w:rsidRPr="00E25906" w:rsidRDefault="008F6C0B" w:rsidP="008F6C0B">
      <w:pPr>
        <w:spacing w:after="0" w:line="240" w:lineRule="auto"/>
        <w:jc w:val="both"/>
        <w:rPr>
          <w:rFonts w:cstheme="minorHAnsi"/>
          <w:color w:val="000000" w:themeColor="text1"/>
        </w:rPr>
      </w:pPr>
      <w:r w:rsidRPr="00E25906">
        <w:rPr>
          <w:rFonts w:cstheme="minorHAnsi"/>
          <w:color w:val="000000" w:themeColor="text1"/>
        </w:rPr>
        <w:t>Rusijos valstybės institucijų</w:t>
      </w:r>
      <w:r w:rsidR="00762F17" w:rsidRPr="00E25906">
        <w:rPr>
          <w:rFonts w:cstheme="minorHAnsi"/>
          <w:color w:val="000000" w:themeColor="text1"/>
        </w:rPr>
        <w:t xml:space="preserve">, kurių </w:t>
      </w:r>
      <w:r w:rsidRPr="00E25906">
        <w:rPr>
          <w:rFonts w:cstheme="minorHAnsi"/>
          <w:color w:val="000000" w:themeColor="text1"/>
        </w:rPr>
        <w:t xml:space="preserve">50 % </w:t>
      </w:r>
      <w:r w:rsidR="00762F17" w:rsidRPr="00E25906">
        <w:rPr>
          <w:rFonts w:cstheme="minorHAnsi"/>
          <w:color w:val="000000" w:themeColor="text1"/>
        </w:rPr>
        <w:t xml:space="preserve">yra </w:t>
      </w:r>
      <w:r w:rsidRPr="00E25906">
        <w:rPr>
          <w:rFonts w:cstheme="minorHAnsi"/>
          <w:color w:val="000000" w:themeColor="text1"/>
        </w:rPr>
        <w:t>valstybės nuosavybė</w:t>
      </w:r>
      <w:r w:rsidR="00762F17" w:rsidRPr="00E25906">
        <w:rPr>
          <w:rFonts w:cstheme="minorHAnsi"/>
          <w:color w:val="000000" w:themeColor="text1"/>
        </w:rPr>
        <w:t>,</w:t>
      </w:r>
      <w:r w:rsidRPr="00E25906">
        <w:rPr>
          <w:rFonts w:cstheme="minorHAnsi"/>
          <w:color w:val="000000" w:themeColor="text1"/>
        </w:rPr>
        <w:t xml:space="preserve"> arba valstybės kontroliuojamų institucijų dalyvavimas vykdomuose projektuose turi būti nutrauktas. Tokių institucijų veikla nėra tinkama finansavimui pagal vykdomus kvietimus. Siekiant išvengti kiekvieno atskiro atvejo nagrinėjimo, siūloma laikyti, kad visos Rusijoje įsteigtos švietimo veiklą vykdančios institucijos yra kontroliuojamos Rusijos valstybės. Šiame kontekste šis horizontalus požiūris taikomas visoms Rusijoje įsteigtoms institucijoms, kurios vykdo veiklą, apimančią mokymosi veiklą, įskaitant formaliojo, neformalaus ar kitą mokymosi veiklą, švietimo, mokymo, jaunimo ir sporto srityse</w:t>
      </w:r>
      <w:r w:rsidR="00570C8D" w:rsidRPr="00E25906">
        <w:rPr>
          <w:rFonts w:cstheme="minorHAnsi"/>
          <w:color w:val="000000" w:themeColor="text1"/>
        </w:rPr>
        <w:t>.</w:t>
      </w:r>
    </w:p>
    <w:p w14:paraId="5164390E" w14:textId="77777777" w:rsidR="00762F17" w:rsidRPr="00E25906" w:rsidRDefault="00762F17" w:rsidP="008F6C0B">
      <w:pPr>
        <w:spacing w:after="0" w:line="240" w:lineRule="auto"/>
        <w:jc w:val="both"/>
        <w:rPr>
          <w:rFonts w:cstheme="minorHAnsi"/>
          <w:color w:val="000000" w:themeColor="text1"/>
        </w:rPr>
      </w:pPr>
    </w:p>
    <w:p w14:paraId="5BC7DD91" w14:textId="34F98B2F" w:rsidR="00CB5D2B" w:rsidRPr="00E25906" w:rsidRDefault="00762F17">
      <w:pPr>
        <w:spacing w:after="0" w:line="240" w:lineRule="auto"/>
        <w:rPr>
          <w:rFonts w:cstheme="minorHAnsi"/>
        </w:rPr>
      </w:pPr>
      <w:r w:rsidRPr="00E25906">
        <w:rPr>
          <w:rFonts w:cstheme="minorHAnsi"/>
        </w:rPr>
        <w:t xml:space="preserve">Rusijos institucijos, kurios nėra nei valstybinės, nei </w:t>
      </w:r>
      <w:r w:rsidR="00372B71" w:rsidRPr="00E25906">
        <w:rPr>
          <w:rFonts w:cstheme="minorHAnsi"/>
        </w:rPr>
        <w:t xml:space="preserve">Rusijos valstybės </w:t>
      </w:r>
      <w:r w:rsidRPr="00E25906">
        <w:rPr>
          <w:rFonts w:cstheme="minorHAnsi"/>
        </w:rPr>
        <w:t>kontroliuojamos</w:t>
      </w:r>
      <w:r w:rsidR="00372B71" w:rsidRPr="00E25906">
        <w:rPr>
          <w:rFonts w:cstheme="minorHAnsi"/>
        </w:rPr>
        <w:t xml:space="preserve"> ir</w:t>
      </w:r>
      <w:r w:rsidRPr="00E25906">
        <w:rPr>
          <w:rFonts w:cstheme="minorHAnsi"/>
        </w:rPr>
        <w:t xml:space="preserve"> nevykdo su šveitimu susijusios veiklos, gali ir toliau dalyvauti projektuose.</w:t>
      </w:r>
    </w:p>
    <w:p w14:paraId="77F7CCD1" w14:textId="77777777" w:rsidR="00762F17" w:rsidRPr="00E25906" w:rsidRDefault="00762F17">
      <w:pPr>
        <w:spacing w:after="0" w:line="240" w:lineRule="auto"/>
        <w:rPr>
          <w:rFonts w:cstheme="minorHAnsi"/>
        </w:rPr>
      </w:pPr>
    </w:p>
    <w:tbl>
      <w:tblPr>
        <w:tblStyle w:val="TableGrid"/>
        <w:tblW w:w="14312" w:type="dxa"/>
        <w:tblLook w:val="04A0" w:firstRow="1" w:lastRow="0" w:firstColumn="1" w:lastColumn="0" w:noHBand="0" w:noVBand="1"/>
      </w:tblPr>
      <w:tblGrid>
        <w:gridCol w:w="4814"/>
        <w:gridCol w:w="9498"/>
      </w:tblGrid>
      <w:tr w:rsidR="008F6C0B" w:rsidRPr="00E25906" w14:paraId="2B424799" w14:textId="77777777" w:rsidTr="008A6B7B">
        <w:tc>
          <w:tcPr>
            <w:tcW w:w="14312" w:type="dxa"/>
            <w:gridSpan w:val="2"/>
          </w:tcPr>
          <w:p w14:paraId="5D2338AE" w14:textId="210EA413" w:rsidR="008F6C0B" w:rsidRPr="00E25906" w:rsidRDefault="008F6C0B" w:rsidP="006B04E7">
            <w:pPr>
              <w:jc w:val="both"/>
              <w:rPr>
                <w:rFonts w:cstheme="minorHAnsi"/>
                <w:b/>
                <w:bCs/>
              </w:rPr>
            </w:pPr>
            <w:r w:rsidRPr="00E25906">
              <w:rPr>
                <w:rFonts w:cstheme="minorHAnsi"/>
                <w:b/>
                <w:bCs/>
              </w:rPr>
              <w:t>Projektai, pateikti pagal „Erasmus+“ programos 2022 m. kvietimą, kurių atranka jau yra arba bus vykdoma</w:t>
            </w:r>
          </w:p>
        </w:tc>
      </w:tr>
      <w:tr w:rsidR="008F6C0B" w:rsidRPr="00E25906" w14:paraId="6F067B95" w14:textId="77777777" w:rsidTr="008A6B7B">
        <w:tc>
          <w:tcPr>
            <w:tcW w:w="4814" w:type="dxa"/>
          </w:tcPr>
          <w:p w14:paraId="6D43D1EE" w14:textId="77777777" w:rsidR="008F6C0B" w:rsidRPr="00E25906" w:rsidRDefault="008F6C0B" w:rsidP="006B04E7">
            <w:pPr>
              <w:pStyle w:val="ListParagraph"/>
              <w:jc w:val="both"/>
              <w:rPr>
                <w:rFonts w:cstheme="minorHAnsi"/>
              </w:rPr>
            </w:pPr>
          </w:p>
          <w:p w14:paraId="3D4A9AB4" w14:textId="77777777" w:rsidR="008F6C0B" w:rsidRPr="00E25906" w:rsidRDefault="008F6C0B" w:rsidP="006B04E7">
            <w:pPr>
              <w:pStyle w:val="ListParagraph"/>
              <w:numPr>
                <w:ilvl w:val="0"/>
                <w:numId w:val="37"/>
              </w:numPr>
              <w:jc w:val="both"/>
              <w:rPr>
                <w:rFonts w:cstheme="minorHAnsi"/>
              </w:rPr>
            </w:pPr>
            <w:r w:rsidRPr="00E25906">
              <w:rPr>
                <w:rFonts w:cstheme="minorHAnsi"/>
              </w:rPr>
              <w:t>Bendradarbiavimo partnerystės (KA220)</w:t>
            </w:r>
          </w:p>
          <w:p w14:paraId="5DD98E98" w14:textId="0457F47A" w:rsidR="008F6C0B" w:rsidRPr="00E25906" w:rsidRDefault="008F6C0B" w:rsidP="001A54D6">
            <w:pPr>
              <w:pStyle w:val="ListParagraph"/>
              <w:jc w:val="both"/>
              <w:rPr>
                <w:rFonts w:cstheme="minorHAnsi"/>
              </w:rPr>
            </w:pPr>
          </w:p>
        </w:tc>
        <w:tc>
          <w:tcPr>
            <w:tcW w:w="9498" w:type="dxa"/>
          </w:tcPr>
          <w:p w14:paraId="3E5D9E14" w14:textId="248C0F6C" w:rsidR="008F6C0B" w:rsidRPr="00E25906" w:rsidRDefault="008F6C0B" w:rsidP="008F6C0B">
            <w:pPr>
              <w:jc w:val="both"/>
              <w:rPr>
                <w:rFonts w:cstheme="minorHAnsi"/>
              </w:rPr>
            </w:pPr>
            <w:r w:rsidRPr="00E25906">
              <w:rPr>
                <w:rFonts w:cstheme="minorHAnsi"/>
              </w:rPr>
              <w:t>Rusijos valstybinė</w:t>
            </w:r>
            <w:r w:rsidR="00570C8D" w:rsidRPr="00E25906">
              <w:rPr>
                <w:rFonts w:cstheme="minorHAnsi"/>
              </w:rPr>
              <w:t>s</w:t>
            </w:r>
            <w:r w:rsidRPr="00E25906">
              <w:rPr>
                <w:rFonts w:cstheme="minorHAnsi"/>
              </w:rPr>
              <w:t xml:space="preserve"> arba </w:t>
            </w:r>
            <w:r w:rsidR="00001630">
              <w:rPr>
                <w:rFonts w:cstheme="minorHAnsi"/>
              </w:rPr>
              <w:t>jos</w:t>
            </w:r>
            <w:r w:rsidRPr="00E25906">
              <w:rPr>
                <w:rFonts w:cstheme="minorHAnsi"/>
              </w:rPr>
              <w:t xml:space="preserve"> kontroliuojam</w:t>
            </w:r>
            <w:r w:rsidR="00570C8D" w:rsidRPr="00E25906">
              <w:rPr>
                <w:rFonts w:cstheme="minorHAnsi"/>
              </w:rPr>
              <w:t>os</w:t>
            </w:r>
            <w:r w:rsidRPr="00E25906">
              <w:rPr>
                <w:rFonts w:cstheme="minorHAnsi"/>
              </w:rPr>
              <w:t xml:space="preserve"> institucij</w:t>
            </w:r>
            <w:r w:rsidR="00570C8D" w:rsidRPr="00E25906">
              <w:rPr>
                <w:rFonts w:cstheme="minorHAnsi"/>
              </w:rPr>
              <w:t>os</w:t>
            </w:r>
            <w:r w:rsidRPr="00E25906">
              <w:rPr>
                <w:rFonts w:cstheme="minorHAnsi"/>
              </w:rPr>
              <w:t xml:space="preserve"> (įskaitant visas Rusijoje įsikūrusias švietimo </w:t>
            </w:r>
            <w:r w:rsidR="00001630">
              <w:rPr>
                <w:rFonts w:cstheme="minorHAnsi"/>
              </w:rPr>
              <w:t>institucijas</w:t>
            </w:r>
            <w:r w:rsidRPr="00E25906">
              <w:rPr>
                <w:rFonts w:cstheme="minorHAnsi"/>
              </w:rPr>
              <w:t xml:space="preserve">, atitinkančias </w:t>
            </w:r>
            <w:r w:rsidR="00570C8D" w:rsidRPr="00E25906">
              <w:rPr>
                <w:rFonts w:cstheme="minorHAnsi"/>
              </w:rPr>
              <w:t>aukščiau</w:t>
            </w:r>
            <w:r w:rsidRPr="00E25906">
              <w:rPr>
                <w:rFonts w:cstheme="minorHAnsi"/>
              </w:rPr>
              <w:t xml:space="preserve"> pateiktą apibrėžimą</w:t>
            </w:r>
            <w:r w:rsidR="00570C8D" w:rsidRPr="00E25906">
              <w:rPr>
                <w:rFonts w:cstheme="minorHAnsi"/>
              </w:rPr>
              <w:t>)</w:t>
            </w:r>
            <w:r w:rsidRPr="00E25906">
              <w:rPr>
                <w:rFonts w:cstheme="minorHAnsi"/>
              </w:rPr>
              <w:t xml:space="preserve"> nėra įtraukiamos į vykdomas </w:t>
            </w:r>
            <w:r w:rsidR="00762F17" w:rsidRPr="00E25906">
              <w:rPr>
                <w:rFonts w:cstheme="minorHAnsi"/>
              </w:rPr>
              <w:t xml:space="preserve">projektų </w:t>
            </w:r>
            <w:r w:rsidRPr="00E25906">
              <w:rPr>
                <w:rFonts w:cstheme="minorHAnsi"/>
              </w:rPr>
              <w:t xml:space="preserve">atrankos procedūras. Jei </w:t>
            </w:r>
            <w:r w:rsidR="00762F17" w:rsidRPr="00E25906">
              <w:rPr>
                <w:rFonts w:cstheme="minorHAnsi"/>
              </w:rPr>
              <w:t>šių institucijų</w:t>
            </w:r>
            <w:r w:rsidRPr="00E25906">
              <w:rPr>
                <w:rFonts w:cstheme="minorHAnsi"/>
              </w:rPr>
              <w:t xml:space="preserve"> pašalinimas</w:t>
            </w:r>
            <w:r w:rsidR="00374EC3" w:rsidRPr="00E25906">
              <w:rPr>
                <w:rFonts w:cstheme="minorHAnsi"/>
              </w:rPr>
              <w:t xml:space="preserve"> iš projekto</w:t>
            </w:r>
            <w:r w:rsidRPr="00E25906">
              <w:rPr>
                <w:rFonts w:cstheme="minorHAnsi"/>
              </w:rPr>
              <w:t xml:space="preserve"> turėtų įtakos </w:t>
            </w:r>
            <w:r w:rsidR="00762F17" w:rsidRPr="00E25906">
              <w:rPr>
                <w:rFonts w:cstheme="minorHAnsi"/>
              </w:rPr>
              <w:t>projektų paraiškų tinkamumo vertinimui</w:t>
            </w:r>
            <w:r w:rsidRPr="00E25906">
              <w:rPr>
                <w:rFonts w:cstheme="minorHAnsi"/>
              </w:rPr>
              <w:t xml:space="preserve">, pareiškėjui </w:t>
            </w:r>
            <w:r w:rsidR="00762F17" w:rsidRPr="00E25906">
              <w:rPr>
                <w:rFonts w:cstheme="minorHAnsi"/>
              </w:rPr>
              <w:t xml:space="preserve">gali būti leista </w:t>
            </w:r>
            <w:r w:rsidRPr="00E25906">
              <w:rPr>
                <w:rFonts w:cstheme="minorHAnsi"/>
              </w:rPr>
              <w:t>iš naujo įvertinti projekto įgyvendinamumą ir tinkam</w:t>
            </w:r>
            <w:r w:rsidR="00374EC3" w:rsidRPr="00E25906">
              <w:rPr>
                <w:rFonts w:cstheme="minorHAnsi"/>
              </w:rPr>
              <w:t>ą</w:t>
            </w:r>
            <w:r w:rsidRPr="00E25906">
              <w:rPr>
                <w:rFonts w:cstheme="minorHAnsi"/>
              </w:rPr>
              <w:t xml:space="preserve"> arba pakeisti Rusijos instituciją, kad paraiška atitiktų tinkamumo kriterijus. Tokiu atveju, jei pareiškėjas nenori arba negali pakeisti Rusijos partnerio, vertinimo komisija paskelbia paraišką netinkama.</w:t>
            </w:r>
          </w:p>
          <w:p w14:paraId="0596389C" w14:textId="364A1173" w:rsidR="008F6C0B" w:rsidRPr="00E25906" w:rsidRDefault="008F6C0B" w:rsidP="008F6C0B">
            <w:pPr>
              <w:jc w:val="both"/>
              <w:rPr>
                <w:rFonts w:cstheme="minorHAnsi"/>
              </w:rPr>
            </w:pPr>
          </w:p>
        </w:tc>
      </w:tr>
    </w:tbl>
    <w:p w14:paraId="120BE9A1" w14:textId="6E0E87F2" w:rsidR="00372B71" w:rsidRPr="00E25906" w:rsidRDefault="00372B71" w:rsidP="001A54D6">
      <w:pPr>
        <w:spacing w:after="0" w:line="240" w:lineRule="auto"/>
        <w:rPr>
          <w:rFonts w:cstheme="minorHAnsi"/>
        </w:rPr>
      </w:pPr>
    </w:p>
    <w:p w14:paraId="28CB9C17" w14:textId="77777777" w:rsidR="00372B71" w:rsidRPr="00E25906" w:rsidRDefault="00372B71" w:rsidP="00372B71">
      <w:pPr>
        <w:spacing w:after="0"/>
        <w:jc w:val="both"/>
        <w:rPr>
          <w:rFonts w:cstheme="minorHAnsi"/>
          <w:b/>
        </w:rPr>
      </w:pPr>
      <w:r w:rsidRPr="00E25906">
        <w:rPr>
          <w:rFonts w:cstheme="minorHAnsi"/>
          <w:b/>
        </w:rPr>
        <w:t xml:space="preserve">Jau paskelbti išaiškinimai dėl situacijos Ukrainoje: </w:t>
      </w:r>
    </w:p>
    <w:p w14:paraId="262FF8B9" w14:textId="77777777" w:rsidR="00372B71" w:rsidRPr="00E25906" w:rsidRDefault="00897DFD" w:rsidP="00372B71">
      <w:pPr>
        <w:spacing w:after="0"/>
        <w:jc w:val="both"/>
        <w:rPr>
          <w:rFonts w:cstheme="minorHAnsi"/>
          <w:b/>
        </w:rPr>
      </w:pPr>
      <w:hyperlink r:id="rId21" w:history="1">
        <w:r w:rsidR="00372B71" w:rsidRPr="00E25906">
          <w:rPr>
            <w:rStyle w:val="Hyperlink"/>
            <w:rFonts w:cstheme="minorHAnsi"/>
            <w:b/>
          </w:rPr>
          <w:t>https://erasmus-plius.lt/naujienos/svietimas/informacija-del-situacijos-ukrainoje/</w:t>
        </w:r>
      </w:hyperlink>
    </w:p>
    <w:p w14:paraId="196586EF" w14:textId="77777777" w:rsidR="00372B71" w:rsidRPr="00E25906" w:rsidRDefault="00897DFD" w:rsidP="00372B71">
      <w:pPr>
        <w:spacing w:after="0"/>
        <w:jc w:val="both"/>
        <w:rPr>
          <w:rStyle w:val="Hyperlink"/>
          <w:rFonts w:cstheme="minorHAnsi"/>
          <w:b/>
        </w:rPr>
      </w:pPr>
      <w:hyperlink r:id="rId22" w:history="1">
        <w:r w:rsidR="00372B71" w:rsidRPr="00E25906">
          <w:rPr>
            <w:rStyle w:val="Hyperlink"/>
            <w:rFonts w:cstheme="minorHAnsi"/>
            <w:b/>
          </w:rPr>
          <w:t>https://erasmus-plius.lt/naujienos/svietimas/tolimesnes-gaires-del-situacijos-ukrainoje/</w:t>
        </w:r>
      </w:hyperlink>
    </w:p>
    <w:p w14:paraId="66F63B5D" w14:textId="77777777" w:rsidR="00372B71" w:rsidRPr="00E25906" w:rsidRDefault="00897DFD" w:rsidP="00372B71">
      <w:pPr>
        <w:spacing w:after="0"/>
        <w:jc w:val="both"/>
        <w:rPr>
          <w:rFonts w:cstheme="minorHAnsi"/>
          <w:b/>
        </w:rPr>
      </w:pPr>
      <w:hyperlink r:id="rId23" w:history="1">
        <w:r w:rsidR="00372B71" w:rsidRPr="00E25906">
          <w:rPr>
            <w:rStyle w:val="Hyperlink"/>
            <w:rFonts w:cstheme="minorHAnsi"/>
            <w:b/>
          </w:rPr>
          <w:t>https://erasmus-plius.lt/naujienos/svietimas/informacija-programos-erasmus-dalyviams/</w:t>
        </w:r>
      </w:hyperlink>
      <w:r w:rsidR="00372B71" w:rsidRPr="00E25906">
        <w:rPr>
          <w:rFonts w:cstheme="minorHAnsi"/>
          <w:b/>
        </w:rPr>
        <w:t xml:space="preserve"> </w:t>
      </w:r>
    </w:p>
    <w:p w14:paraId="3E82538A" w14:textId="0C9DBA4F" w:rsidR="00372B71" w:rsidRPr="00E25906" w:rsidRDefault="00897DFD" w:rsidP="00001630">
      <w:pPr>
        <w:spacing w:after="0"/>
        <w:jc w:val="both"/>
        <w:rPr>
          <w:rFonts w:cstheme="minorHAnsi"/>
        </w:rPr>
      </w:pPr>
      <w:hyperlink r:id="rId24" w:history="1">
        <w:r w:rsidR="00372B71" w:rsidRPr="00E25906">
          <w:rPr>
            <w:rStyle w:val="Hyperlink"/>
            <w:rFonts w:cstheme="minorHAnsi"/>
            <w:b/>
          </w:rPr>
          <w:t>https://erasmus-plius.lt/naujienos/svietimas/planuojamas-paramos-priemoniu-paketas-ukrainieciams/</w:t>
        </w:r>
      </w:hyperlink>
    </w:p>
    <w:sectPr w:rsidR="00372B71" w:rsidRPr="00E25906" w:rsidSect="00CB6160">
      <w:headerReference w:type="default" r:id="rId25"/>
      <w:pgSz w:w="16838" w:h="11906" w:orient="landscape"/>
      <w:pgMar w:top="567"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165F" w14:textId="77777777" w:rsidR="00895A60" w:rsidRDefault="00895A60" w:rsidP="00855F81">
      <w:pPr>
        <w:spacing w:after="0" w:line="240" w:lineRule="auto"/>
      </w:pPr>
      <w:r>
        <w:separator/>
      </w:r>
    </w:p>
  </w:endnote>
  <w:endnote w:type="continuationSeparator" w:id="0">
    <w:p w14:paraId="082F2ABE" w14:textId="77777777" w:rsidR="00895A60" w:rsidRDefault="00895A60" w:rsidP="0085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2614"/>
      <w:docPartObj>
        <w:docPartGallery w:val="Page Numbers (Bottom of Page)"/>
        <w:docPartUnique/>
      </w:docPartObj>
    </w:sdtPr>
    <w:sdtEndPr/>
    <w:sdtContent>
      <w:p w14:paraId="0432B16B" w14:textId="01D7F6E5" w:rsidR="00FC6B1F" w:rsidRDefault="00FC6B1F">
        <w:pPr>
          <w:pStyle w:val="Footer"/>
          <w:jc w:val="center"/>
        </w:pPr>
        <w:r>
          <w:fldChar w:fldCharType="begin"/>
        </w:r>
        <w:r>
          <w:instrText>PAGE   \* MERGEFORMAT</w:instrText>
        </w:r>
        <w:r>
          <w:fldChar w:fldCharType="separate"/>
        </w:r>
        <w:r>
          <w:t>2</w:t>
        </w:r>
        <w:r>
          <w:fldChar w:fldCharType="end"/>
        </w:r>
      </w:p>
    </w:sdtContent>
  </w:sdt>
  <w:p w14:paraId="5C38684D" w14:textId="6363BC11" w:rsidR="00E167F6" w:rsidRPr="00E167F6" w:rsidRDefault="00E16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849225"/>
      <w:docPartObj>
        <w:docPartGallery w:val="Page Numbers (Bottom of Page)"/>
        <w:docPartUnique/>
      </w:docPartObj>
    </w:sdtPr>
    <w:sdtEndPr/>
    <w:sdtContent>
      <w:p w14:paraId="63CFEE5F" w14:textId="6EC80C5C" w:rsidR="00644A76" w:rsidRDefault="00644A76">
        <w:pPr>
          <w:pStyle w:val="Footer"/>
          <w:jc w:val="center"/>
        </w:pPr>
        <w:r>
          <w:fldChar w:fldCharType="begin"/>
        </w:r>
        <w:r>
          <w:instrText>PAGE   \* MERGEFORMAT</w:instrText>
        </w:r>
        <w:r>
          <w:fldChar w:fldCharType="separate"/>
        </w:r>
        <w:r w:rsidR="00BE252A">
          <w:rPr>
            <w:noProof/>
          </w:rPr>
          <w:t>5</w:t>
        </w:r>
        <w:r>
          <w:fldChar w:fldCharType="end"/>
        </w:r>
      </w:p>
    </w:sdtContent>
  </w:sdt>
  <w:p w14:paraId="4E3EA4F1" w14:textId="732E4020" w:rsidR="00CC3438" w:rsidRPr="00CC3438" w:rsidRDefault="00CC3438" w:rsidP="00CC3438">
    <w:pPr>
      <w:pStyle w:val="Footer"/>
    </w:pPr>
    <w:r w:rsidRPr="00CC3438">
      <w:t xml:space="preserve">Versija Nr. </w:t>
    </w:r>
    <w:r w:rsidR="00E7735F">
      <w:rPr>
        <w:lang w:val="en-US"/>
      </w:rPr>
      <w:t>4</w:t>
    </w:r>
    <w:r w:rsidRPr="00CC3438">
      <w:t>, 2022-0</w:t>
    </w:r>
    <w:r w:rsidR="00E7735F">
      <w:t>7</w:t>
    </w:r>
    <w:r w:rsidRPr="00CC3438">
      <w:t>-</w:t>
    </w:r>
    <w:r w:rsidR="00E7735F">
      <w:t>26</w:t>
    </w:r>
  </w:p>
  <w:p w14:paraId="55FD3647" w14:textId="05D1FC7D" w:rsidR="00644A76" w:rsidRPr="00E167F6" w:rsidRDefault="00644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066195"/>
      <w:docPartObj>
        <w:docPartGallery w:val="Page Numbers (Bottom of Page)"/>
        <w:docPartUnique/>
      </w:docPartObj>
    </w:sdtPr>
    <w:sdtEndPr/>
    <w:sdtContent>
      <w:p w14:paraId="17F753D2" w14:textId="30D2871F" w:rsidR="00CC3438" w:rsidRPr="00E167F6" w:rsidRDefault="00CC3438" w:rsidP="00CC3438">
        <w:pPr>
          <w:pStyle w:val="Footer"/>
        </w:pPr>
        <w:r>
          <w:t xml:space="preserve">Versija Nr. </w:t>
        </w:r>
        <w:r w:rsidR="00E7735F">
          <w:t>4</w:t>
        </w:r>
        <w:r>
          <w:t>, 2022-</w:t>
        </w:r>
        <w:r w:rsidRPr="00BF2A0C">
          <w:t>0</w:t>
        </w:r>
        <w:r w:rsidR="00E7735F">
          <w:t>7</w:t>
        </w:r>
        <w:r w:rsidRPr="00BF2A0C">
          <w:t>-</w:t>
        </w:r>
        <w:r w:rsidR="00E7735F">
          <w:t>26</w:t>
        </w:r>
      </w:p>
      <w:p w14:paraId="10FE5126" w14:textId="36EDE6EC" w:rsidR="00644A76" w:rsidRDefault="00644A76">
        <w:pPr>
          <w:pStyle w:val="Footer"/>
          <w:jc w:val="center"/>
        </w:pPr>
        <w:r>
          <w:fldChar w:fldCharType="begin"/>
        </w:r>
        <w:r>
          <w:instrText>PAGE   \* MERGEFORMAT</w:instrText>
        </w:r>
        <w:r>
          <w:fldChar w:fldCharType="separate"/>
        </w:r>
        <w:r w:rsidR="00BE252A">
          <w:rPr>
            <w:noProof/>
          </w:rPr>
          <w:t>10</w:t>
        </w:r>
        <w:r>
          <w:fldChar w:fldCharType="end"/>
        </w:r>
      </w:p>
    </w:sdtContent>
  </w:sdt>
  <w:p w14:paraId="0BDEE8C6" w14:textId="77777777" w:rsidR="00F542C6" w:rsidRDefault="00F5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389D" w14:textId="77777777" w:rsidR="00895A60" w:rsidRDefault="00895A60" w:rsidP="00855F81">
      <w:pPr>
        <w:spacing w:after="0" w:line="240" w:lineRule="auto"/>
      </w:pPr>
      <w:r>
        <w:separator/>
      </w:r>
    </w:p>
  </w:footnote>
  <w:footnote w:type="continuationSeparator" w:id="0">
    <w:p w14:paraId="49A451DD" w14:textId="77777777" w:rsidR="00895A60" w:rsidRDefault="00895A60" w:rsidP="00855F81">
      <w:pPr>
        <w:spacing w:after="0" w:line="240" w:lineRule="auto"/>
      </w:pPr>
      <w:r>
        <w:continuationSeparator/>
      </w:r>
    </w:p>
  </w:footnote>
  <w:footnote w:id="1">
    <w:p w14:paraId="14A11A2D" w14:textId="2EF8A4A3" w:rsidR="00B93980" w:rsidRDefault="00B93980" w:rsidP="00317501">
      <w:pPr>
        <w:pStyle w:val="FootnoteText"/>
        <w:tabs>
          <w:tab w:val="left" w:pos="9898"/>
        </w:tabs>
      </w:pPr>
      <w:r w:rsidRPr="00E25906">
        <w:rPr>
          <w:rStyle w:val="FootnoteReference"/>
        </w:rPr>
        <w:footnoteRef/>
      </w:r>
      <w:r w:rsidRPr="00E25906">
        <w:t xml:space="preserve">   KA107 </w:t>
      </w:r>
      <w:r w:rsidR="00D457D0" w:rsidRPr="00E25906">
        <w:t>veiklos atveju</w:t>
      </w:r>
      <w:r w:rsidR="004D2010" w:rsidRPr="00E25906">
        <w:t>:</w:t>
      </w:r>
      <w:r w:rsidR="00D457D0" w:rsidRPr="00E25906">
        <w:t xml:space="preserve"> papildomos priemokos (</w:t>
      </w:r>
      <w:proofErr w:type="spellStart"/>
      <w:r w:rsidR="00D457D0" w:rsidRPr="00E25906">
        <w:rPr>
          <w:i/>
        </w:rPr>
        <w:t>top-up</w:t>
      </w:r>
      <w:proofErr w:type="spellEnd"/>
      <w:r w:rsidR="00D457D0" w:rsidRPr="00E25906">
        <w:rPr>
          <w:i/>
        </w:rPr>
        <w:t>)</w:t>
      </w:r>
      <w:r w:rsidR="00D457D0" w:rsidRPr="00E25906">
        <w:t xml:space="preserve"> </w:t>
      </w:r>
      <w:r w:rsidR="004D2010" w:rsidRPr="00E25906">
        <w:t>dydis 100</w:t>
      </w:r>
      <w:r w:rsidR="00BF2A0C" w:rsidRPr="00E25906">
        <w:t xml:space="preserve"> </w:t>
      </w:r>
      <w:r w:rsidR="004D2010" w:rsidRPr="00E25906">
        <w:t>EUR</w:t>
      </w:r>
      <w:r w:rsidR="000138B5" w:rsidRPr="00E25906">
        <w:t>/mėn.</w:t>
      </w:r>
      <w:r w:rsidR="004D2010" w:rsidRPr="00E25906">
        <w:t xml:space="preserve"> dalyviui</w:t>
      </w:r>
      <w:r w:rsidR="008D516A" w:rsidRPr="00E25906">
        <w:t xml:space="preserve"> (turi būti skiriamas </w:t>
      </w:r>
      <w:r w:rsidR="009D3FE4" w:rsidRPr="00E25906">
        <w:t>atvykstantiems</w:t>
      </w:r>
      <w:r w:rsidR="008D516A" w:rsidRPr="00E25906">
        <w:t xml:space="preserve"> student</w:t>
      </w:r>
      <w:r w:rsidR="001C36F5" w:rsidRPr="00E25906">
        <w:t xml:space="preserve">ams </w:t>
      </w:r>
      <w:r w:rsidR="008D516A" w:rsidRPr="00E25906">
        <w:t>iš Ukrainos</w:t>
      </w:r>
      <w:r w:rsidR="009D3FE4" w:rsidRPr="00E25906">
        <w:t>, kurių mobilumas</w:t>
      </w:r>
      <w:r w:rsidR="00C928F6" w:rsidRPr="00E25906">
        <w:t xml:space="preserve"> finansuoja</w:t>
      </w:r>
      <w:r w:rsidR="009D3FE4" w:rsidRPr="00E25906">
        <w:t xml:space="preserve">mas </w:t>
      </w:r>
      <w:r w:rsidR="00C928F6" w:rsidRPr="00E25906">
        <w:t xml:space="preserve">iš </w:t>
      </w:r>
      <w:r w:rsidR="00C928F6" w:rsidRPr="00E25906">
        <w:rPr>
          <w:lang w:val="en-US"/>
        </w:rPr>
        <w:t>KA107</w:t>
      </w:r>
      <w:r w:rsidR="00C928F6" w:rsidRPr="00E25906">
        <w:t xml:space="preserve"> </w:t>
      </w:r>
      <w:r w:rsidR="001C36F5" w:rsidRPr="00E25906">
        <w:t xml:space="preserve">veiklos </w:t>
      </w:r>
      <w:r w:rsidR="00C928F6" w:rsidRPr="00E25906">
        <w:rPr>
          <w:lang w:val="en-US"/>
        </w:rPr>
        <w:t xml:space="preserve">2019 </w:t>
      </w:r>
      <w:proofErr w:type="spellStart"/>
      <w:r w:rsidR="00C928F6" w:rsidRPr="00E25906">
        <w:rPr>
          <w:lang w:val="en-US"/>
        </w:rPr>
        <w:t>ir</w:t>
      </w:r>
      <w:proofErr w:type="spellEnd"/>
      <w:r w:rsidR="00C928F6" w:rsidRPr="00E25906">
        <w:rPr>
          <w:lang w:val="en-US"/>
        </w:rPr>
        <w:t xml:space="preserve"> 2020 </w:t>
      </w:r>
      <w:proofErr w:type="spellStart"/>
      <w:r w:rsidR="00C928F6" w:rsidRPr="00E25906">
        <w:rPr>
          <w:lang w:val="en-US"/>
        </w:rPr>
        <w:t>m</w:t>
      </w:r>
      <w:r w:rsidR="001C36F5" w:rsidRPr="00E25906">
        <w:rPr>
          <w:lang w:val="en-US"/>
        </w:rPr>
        <w:t>etų</w:t>
      </w:r>
      <w:proofErr w:type="spellEnd"/>
      <w:r w:rsidR="00C928F6" w:rsidRPr="00E25906">
        <w:rPr>
          <w:lang w:val="en-US"/>
        </w:rPr>
        <w:t xml:space="preserve"> </w:t>
      </w:r>
      <w:proofErr w:type="spellStart"/>
      <w:r w:rsidR="00C928F6" w:rsidRPr="00E25906">
        <w:rPr>
          <w:lang w:val="en-US"/>
        </w:rPr>
        <w:t>projekt</w:t>
      </w:r>
      <w:proofErr w:type="spellEnd"/>
      <w:r w:rsidR="00C928F6" w:rsidRPr="00E25906">
        <w:t>ų</w:t>
      </w:r>
      <w:r w:rsidR="008D516A" w:rsidRPr="00E25906">
        <w:t>)</w:t>
      </w:r>
      <w:r w:rsidR="002A6A21">
        <w:t xml:space="preserve">. </w:t>
      </w:r>
      <w:r w:rsidR="00F91274" w:rsidRPr="00897DFD">
        <w:rPr>
          <w:color w:val="C45911" w:themeColor="accent2" w:themeShade="BF"/>
        </w:rPr>
        <w:t>Toks mobilumas</w:t>
      </w:r>
      <w:r w:rsidR="002A6A21" w:rsidRPr="00897DFD">
        <w:rPr>
          <w:color w:val="C45911" w:themeColor="accent2" w:themeShade="BF"/>
        </w:rPr>
        <w:t xml:space="preserve">  </w:t>
      </w:r>
      <w:r w:rsidR="00F91274" w:rsidRPr="00897DFD">
        <w:rPr>
          <w:color w:val="C45911" w:themeColor="accent2" w:themeShade="BF"/>
        </w:rPr>
        <w:t>„</w:t>
      </w:r>
      <w:proofErr w:type="spellStart"/>
      <w:r w:rsidR="002A6A21" w:rsidRPr="00897DFD">
        <w:rPr>
          <w:i/>
          <w:color w:val="C45911" w:themeColor="accent2" w:themeShade="BF"/>
        </w:rPr>
        <w:t>Mobility</w:t>
      </w:r>
      <w:proofErr w:type="spellEnd"/>
      <w:r w:rsidR="002A6A21" w:rsidRPr="00897DFD">
        <w:rPr>
          <w:i/>
          <w:color w:val="C45911" w:themeColor="accent2" w:themeShade="BF"/>
        </w:rPr>
        <w:t xml:space="preserve"> </w:t>
      </w:r>
      <w:proofErr w:type="spellStart"/>
      <w:r w:rsidR="002A6A21" w:rsidRPr="00897DFD">
        <w:rPr>
          <w:i/>
          <w:color w:val="C45911" w:themeColor="accent2" w:themeShade="BF"/>
        </w:rPr>
        <w:t>Tool</w:t>
      </w:r>
      <w:proofErr w:type="spellEnd"/>
      <w:r w:rsidR="00F91274" w:rsidRPr="00897DFD">
        <w:rPr>
          <w:i/>
          <w:color w:val="C45911" w:themeColor="accent2" w:themeShade="BF"/>
          <w:lang w:val="en-US"/>
        </w:rPr>
        <w:t>+”</w:t>
      </w:r>
      <w:r w:rsidR="00F91274" w:rsidRPr="00897DFD">
        <w:rPr>
          <w:color w:val="C45911" w:themeColor="accent2" w:themeShade="BF"/>
          <w:lang w:val="en-US"/>
        </w:rPr>
        <w:t xml:space="preserve"> </w:t>
      </w:r>
      <w:r w:rsidR="002A6A21" w:rsidRPr="00897DFD">
        <w:rPr>
          <w:color w:val="C45911" w:themeColor="accent2" w:themeShade="BF"/>
        </w:rPr>
        <w:t xml:space="preserve"> sistemoje turi būti pažymėtas kaip  </w:t>
      </w:r>
      <w:r w:rsidR="002A6A21" w:rsidRPr="00897DFD">
        <w:rPr>
          <w:i/>
          <w:color w:val="C45911" w:themeColor="accent2" w:themeShade="BF"/>
        </w:rPr>
        <w:t>„force majeure“</w:t>
      </w:r>
      <w:r w:rsidR="002A6A21" w:rsidRPr="00897DFD">
        <w:rPr>
          <w:color w:val="C45911" w:themeColor="accent2" w:themeShade="BF"/>
        </w:rPr>
        <w:t xml:space="preserve"> </w:t>
      </w:r>
      <w:r w:rsidR="00F91274" w:rsidRPr="00897DFD">
        <w:rPr>
          <w:color w:val="C45911" w:themeColor="accent2" w:themeShade="BF"/>
        </w:rPr>
        <w:t xml:space="preserve"> tam, kad būtų galima įrašyti taikomą papildomą priemokos dydį  </w:t>
      </w:r>
      <w:r w:rsidR="00F91274" w:rsidRPr="00897DFD">
        <w:rPr>
          <w:i/>
          <w:color w:val="C45911" w:themeColor="accent2" w:themeShade="BF"/>
        </w:rPr>
        <w:t>(</w:t>
      </w:r>
      <w:proofErr w:type="spellStart"/>
      <w:r w:rsidR="00F91274" w:rsidRPr="00897DFD">
        <w:rPr>
          <w:i/>
          <w:color w:val="C45911" w:themeColor="accent2" w:themeShade="BF"/>
        </w:rPr>
        <w:t>top-up</w:t>
      </w:r>
      <w:proofErr w:type="spellEnd"/>
      <w:r w:rsidR="00F91274" w:rsidRPr="00897DFD">
        <w:rPr>
          <w:i/>
          <w:color w:val="C45911" w:themeColor="accent2" w:themeShade="BF"/>
        </w:rPr>
        <w:t xml:space="preserve">) </w:t>
      </w:r>
      <w:r w:rsidR="00F91274" w:rsidRPr="00897DFD">
        <w:rPr>
          <w:color w:val="C45911" w:themeColor="accent2" w:themeShade="BF"/>
        </w:rPr>
        <w:t xml:space="preserve">individualios paramos lėšų eilutėje. </w:t>
      </w:r>
      <w:r w:rsidR="00E167F6" w:rsidRPr="00897DFD">
        <w:rPr>
          <w:i/>
        </w:rPr>
        <w:tab/>
      </w:r>
    </w:p>
  </w:footnote>
  <w:footnote w:id="2">
    <w:p w14:paraId="59DF8CA6" w14:textId="0776E565" w:rsidR="008A02FB" w:rsidRDefault="008A02FB" w:rsidP="008A02FB">
      <w:pPr>
        <w:pStyle w:val="FootnoteText"/>
      </w:pPr>
      <w:r w:rsidRPr="00E25906">
        <w:rPr>
          <w:rStyle w:val="FootnoteReference"/>
        </w:rPr>
        <w:footnoteRef/>
      </w:r>
      <w:r w:rsidRPr="00E25906">
        <w:t xml:space="preserve">   </w:t>
      </w:r>
      <w:r w:rsidR="00576421" w:rsidRPr="00E25906">
        <w:t>KA107 veiklos atveju: papildomos priemokos (</w:t>
      </w:r>
      <w:r w:rsidR="00576421" w:rsidRPr="00024321">
        <w:rPr>
          <w:lang w:val="en-US"/>
        </w:rPr>
        <w:t>top-up</w:t>
      </w:r>
      <w:r w:rsidR="00576421" w:rsidRPr="00E25906">
        <w:t>) dydis 100</w:t>
      </w:r>
      <w:r w:rsidR="00BF2A0C" w:rsidRPr="00E25906">
        <w:t xml:space="preserve"> </w:t>
      </w:r>
      <w:r w:rsidR="00576421" w:rsidRPr="00E25906">
        <w:t>EUR</w:t>
      </w:r>
      <w:r w:rsidR="000138B5" w:rsidRPr="00E25906">
        <w:t>/mėn.</w:t>
      </w:r>
      <w:r w:rsidR="00576421" w:rsidRPr="00E25906">
        <w:t xml:space="preserve"> dalyviui (turi būti skiriamas atvykstantiems studentams iš Ukrainos, kurių mobilumas finansuojamas iš KA107 veiklos 2019 ir 2020 metų projektų)</w:t>
      </w:r>
      <w:r w:rsidR="00F91274">
        <w:t xml:space="preserve">. </w:t>
      </w:r>
      <w:r w:rsidR="00F91274" w:rsidRPr="00897DFD">
        <w:rPr>
          <w:color w:val="C45911" w:themeColor="accent2" w:themeShade="BF"/>
        </w:rPr>
        <w:t>Toks mobilumas  „</w:t>
      </w:r>
      <w:proofErr w:type="spellStart"/>
      <w:r w:rsidR="00F91274" w:rsidRPr="00897DFD">
        <w:rPr>
          <w:i/>
          <w:color w:val="C45911" w:themeColor="accent2" w:themeShade="BF"/>
        </w:rPr>
        <w:t>Mobility</w:t>
      </w:r>
      <w:proofErr w:type="spellEnd"/>
      <w:r w:rsidR="00F91274" w:rsidRPr="00897DFD">
        <w:rPr>
          <w:i/>
          <w:color w:val="C45911" w:themeColor="accent2" w:themeShade="BF"/>
        </w:rPr>
        <w:t xml:space="preserve"> </w:t>
      </w:r>
      <w:proofErr w:type="spellStart"/>
      <w:r w:rsidR="00F91274" w:rsidRPr="00897DFD">
        <w:rPr>
          <w:i/>
          <w:color w:val="C45911" w:themeColor="accent2" w:themeShade="BF"/>
        </w:rPr>
        <w:t>Tool</w:t>
      </w:r>
      <w:proofErr w:type="spellEnd"/>
      <w:r w:rsidR="00F91274" w:rsidRPr="00897DFD">
        <w:rPr>
          <w:i/>
          <w:color w:val="C45911" w:themeColor="accent2" w:themeShade="BF"/>
          <w:lang w:val="en-US"/>
        </w:rPr>
        <w:t>+”</w:t>
      </w:r>
      <w:r w:rsidR="00F91274" w:rsidRPr="00897DFD">
        <w:rPr>
          <w:color w:val="C45911" w:themeColor="accent2" w:themeShade="BF"/>
          <w:lang w:val="en-US"/>
        </w:rPr>
        <w:t xml:space="preserve"> </w:t>
      </w:r>
      <w:r w:rsidR="00F91274" w:rsidRPr="00897DFD">
        <w:rPr>
          <w:color w:val="C45911" w:themeColor="accent2" w:themeShade="BF"/>
        </w:rPr>
        <w:t xml:space="preserve"> sistemoje turi būti pažymėtas kaip  </w:t>
      </w:r>
      <w:r w:rsidR="00F91274" w:rsidRPr="00897DFD">
        <w:rPr>
          <w:i/>
          <w:color w:val="C45911" w:themeColor="accent2" w:themeShade="BF"/>
        </w:rPr>
        <w:t>„force majeure“</w:t>
      </w:r>
      <w:r w:rsidR="00F91274" w:rsidRPr="00897DFD">
        <w:rPr>
          <w:color w:val="C45911" w:themeColor="accent2" w:themeShade="BF"/>
        </w:rPr>
        <w:t xml:space="preserve">  tam, kad būtų galima įrašyti taikomą papildomą priemokos dydį  </w:t>
      </w:r>
      <w:r w:rsidR="00F91274" w:rsidRPr="00897DFD">
        <w:rPr>
          <w:i/>
          <w:color w:val="C45911" w:themeColor="accent2" w:themeShade="BF"/>
        </w:rPr>
        <w:t>(</w:t>
      </w:r>
      <w:proofErr w:type="spellStart"/>
      <w:r w:rsidR="00F91274" w:rsidRPr="00897DFD">
        <w:rPr>
          <w:i/>
          <w:color w:val="C45911" w:themeColor="accent2" w:themeShade="BF"/>
        </w:rPr>
        <w:t>top-up</w:t>
      </w:r>
      <w:proofErr w:type="spellEnd"/>
      <w:r w:rsidR="00F91274" w:rsidRPr="00897DFD">
        <w:rPr>
          <w:i/>
          <w:color w:val="C45911" w:themeColor="accent2" w:themeShade="BF"/>
        </w:rPr>
        <w:t xml:space="preserve">) </w:t>
      </w:r>
      <w:r w:rsidR="00F91274" w:rsidRPr="00897DFD">
        <w:rPr>
          <w:color w:val="C45911" w:themeColor="accent2" w:themeShade="BF"/>
        </w:rPr>
        <w:t>individualios paramos lėšų eilutėje.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168E" w14:textId="70AEB560" w:rsidR="00BF2A0C" w:rsidRPr="00BF2A0C" w:rsidRDefault="00BF2A0C" w:rsidP="00BF2A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5862" w14:textId="450E49AC" w:rsidR="00B2694C" w:rsidRPr="00B2694C" w:rsidRDefault="00CB6160" w:rsidP="00CB6160">
    <w:pPr>
      <w:pStyle w:val="Header"/>
      <w:jc w:val="right"/>
    </w:pPr>
    <w:r>
      <w:tab/>
    </w:r>
    <w:r>
      <w:tab/>
    </w:r>
    <w:r>
      <w:tab/>
    </w:r>
    <w:r>
      <w:tab/>
    </w:r>
    <w:r>
      <w:tab/>
      <w:t>1 priedas</w:t>
    </w:r>
    <w:r w:rsidR="003F450F">
      <w:tab/>
    </w:r>
    <w:r w:rsidR="003F450F">
      <w:tab/>
    </w:r>
    <w:r w:rsidR="003F450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44CA" w14:textId="77777777" w:rsidR="00CE4959" w:rsidRPr="00B2694C" w:rsidRDefault="00CE4959" w:rsidP="00CB6160">
    <w:pPr>
      <w:pStyle w:val="Header"/>
      <w:jc w:val="right"/>
    </w:pPr>
    <w:r>
      <w:tab/>
    </w:r>
    <w:r>
      <w:tab/>
    </w:r>
    <w:r>
      <w:tab/>
    </w:r>
    <w:r>
      <w:tab/>
    </w:r>
    <w:r>
      <w:tab/>
      <w:t>1 priedas</w:t>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45FA" w14:textId="22FC9A4E" w:rsidR="00CE4959" w:rsidRPr="00B2694C" w:rsidRDefault="00CE4959" w:rsidP="00CB6160">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F3B"/>
    <w:multiLevelType w:val="hybridMultilevel"/>
    <w:tmpl w:val="E08E58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5066A36"/>
    <w:multiLevelType w:val="hybridMultilevel"/>
    <w:tmpl w:val="BDDC1F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A768DD"/>
    <w:multiLevelType w:val="hybridMultilevel"/>
    <w:tmpl w:val="7174CCAA"/>
    <w:lvl w:ilvl="0" w:tplc="0E063C08">
      <w:numFmt w:val="bullet"/>
      <w:lvlText w:val="•"/>
      <w:lvlJc w:val="left"/>
      <w:pPr>
        <w:ind w:left="1574" w:hanging="363"/>
      </w:pPr>
      <w:rPr>
        <w:rFonts w:ascii="Times New Roman" w:eastAsia="Times New Roman" w:hAnsi="Times New Roman" w:cs="Times New Roman" w:hint="default"/>
        <w:b w:val="0"/>
        <w:bCs w:val="0"/>
        <w:i w:val="0"/>
        <w:iCs w:val="0"/>
        <w:w w:val="93"/>
        <w:sz w:val="25"/>
        <w:szCs w:val="25"/>
        <w:lang w:val="en-US" w:eastAsia="en-US" w:bidi="ar-SA"/>
      </w:rPr>
    </w:lvl>
    <w:lvl w:ilvl="1" w:tplc="56B268B6">
      <w:numFmt w:val="bullet"/>
      <w:lvlText w:val="•"/>
      <w:lvlJc w:val="left"/>
      <w:pPr>
        <w:ind w:left="2474" w:hanging="363"/>
      </w:pPr>
      <w:rPr>
        <w:rFonts w:hint="default"/>
        <w:lang w:val="en-US" w:eastAsia="en-US" w:bidi="ar-SA"/>
      </w:rPr>
    </w:lvl>
    <w:lvl w:ilvl="2" w:tplc="7DF455F6">
      <w:numFmt w:val="bullet"/>
      <w:lvlText w:val="•"/>
      <w:lvlJc w:val="left"/>
      <w:pPr>
        <w:ind w:left="3368" w:hanging="363"/>
      </w:pPr>
      <w:rPr>
        <w:rFonts w:hint="default"/>
        <w:lang w:val="en-US" w:eastAsia="en-US" w:bidi="ar-SA"/>
      </w:rPr>
    </w:lvl>
    <w:lvl w:ilvl="3" w:tplc="26282CE6">
      <w:numFmt w:val="bullet"/>
      <w:lvlText w:val="•"/>
      <w:lvlJc w:val="left"/>
      <w:pPr>
        <w:ind w:left="4262" w:hanging="363"/>
      </w:pPr>
      <w:rPr>
        <w:rFonts w:hint="default"/>
        <w:lang w:val="en-US" w:eastAsia="en-US" w:bidi="ar-SA"/>
      </w:rPr>
    </w:lvl>
    <w:lvl w:ilvl="4" w:tplc="FCA4C7B4">
      <w:numFmt w:val="bullet"/>
      <w:lvlText w:val="•"/>
      <w:lvlJc w:val="left"/>
      <w:pPr>
        <w:ind w:left="5156" w:hanging="363"/>
      </w:pPr>
      <w:rPr>
        <w:rFonts w:hint="default"/>
        <w:lang w:val="en-US" w:eastAsia="en-US" w:bidi="ar-SA"/>
      </w:rPr>
    </w:lvl>
    <w:lvl w:ilvl="5" w:tplc="C92AD836">
      <w:numFmt w:val="bullet"/>
      <w:lvlText w:val="•"/>
      <w:lvlJc w:val="left"/>
      <w:pPr>
        <w:ind w:left="6050" w:hanging="363"/>
      </w:pPr>
      <w:rPr>
        <w:rFonts w:hint="default"/>
        <w:lang w:val="en-US" w:eastAsia="en-US" w:bidi="ar-SA"/>
      </w:rPr>
    </w:lvl>
    <w:lvl w:ilvl="6" w:tplc="1256B764">
      <w:numFmt w:val="bullet"/>
      <w:lvlText w:val="•"/>
      <w:lvlJc w:val="left"/>
      <w:pPr>
        <w:ind w:left="6944" w:hanging="363"/>
      </w:pPr>
      <w:rPr>
        <w:rFonts w:hint="default"/>
        <w:lang w:val="en-US" w:eastAsia="en-US" w:bidi="ar-SA"/>
      </w:rPr>
    </w:lvl>
    <w:lvl w:ilvl="7" w:tplc="FFFAA474">
      <w:numFmt w:val="bullet"/>
      <w:lvlText w:val="•"/>
      <w:lvlJc w:val="left"/>
      <w:pPr>
        <w:ind w:left="7838" w:hanging="363"/>
      </w:pPr>
      <w:rPr>
        <w:rFonts w:hint="default"/>
        <w:lang w:val="en-US" w:eastAsia="en-US" w:bidi="ar-SA"/>
      </w:rPr>
    </w:lvl>
    <w:lvl w:ilvl="8" w:tplc="6374E3C2">
      <w:numFmt w:val="bullet"/>
      <w:lvlText w:val="•"/>
      <w:lvlJc w:val="left"/>
      <w:pPr>
        <w:ind w:left="8732" w:hanging="363"/>
      </w:pPr>
      <w:rPr>
        <w:rFonts w:hint="default"/>
        <w:lang w:val="en-US" w:eastAsia="en-US" w:bidi="ar-SA"/>
      </w:rPr>
    </w:lvl>
  </w:abstractNum>
  <w:abstractNum w:abstractNumId="3" w15:restartNumberingAfterBreak="0">
    <w:nsid w:val="079627DF"/>
    <w:multiLevelType w:val="hybridMultilevel"/>
    <w:tmpl w:val="EB8CF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4B1EDE"/>
    <w:multiLevelType w:val="hybridMultilevel"/>
    <w:tmpl w:val="AF640DF6"/>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1801653"/>
    <w:multiLevelType w:val="hybridMultilevel"/>
    <w:tmpl w:val="C38A0616"/>
    <w:lvl w:ilvl="0" w:tplc="268E7520">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C563CA"/>
    <w:multiLevelType w:val="hybridMultilevel"/>
    <w:tmpl w:val="EB28F412"/>
    <w:lvl w:ilvl="0" w:tplc="04270003">
      <w:start w:val="1"/>
      <w:numFmt w:val="bullet"/>
      <w:lvlText w:val="o"/>
      <w:lvlJc w:val="left"/>
      <w:pPr>
        <w:ind w:left="1069" w:hanging="360"/>
      </w:pPr>
      <w:rPr>
        <w:rFonts w:ascii="Courier New" w:hAnsi="Courier New" w:cs="Courier New"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11EF3D13"/>
    <w:multiLevelType w:val="hybridMultilevel"/>
    <w:tmpl w:val="8BB28FB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2557875"/>
    <w:multiLevelType w:val="hybridMultilevel"/>
    <w:tmpl w:val="DE2A8F4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2AC7CB2"/>
    <w:multiLevelType w:val="hybridMultilevel"/>
    <w:tmpl w:val="E0606D52"/>
    <w:lvl w:ilvl="0" w:tplc="BA7CC14A">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41F1EB2"/>
    <w:multiLevelType w:val="hybridMultilevel"/>
    <w:tmpl w:val="85266340"/>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E85D91"/>
    <w:multiLevelType w:val="hybridMultilevel"/>
    <w:tmpl w:val="A7D63E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D435AAF"/>
    <w:multiLevelType w:val="hybridMultilevel"/>
    <w:tmpl w:val="50EA92EE"/>
    <w:lvl w:ilvl="0" w:tplc="27AEB10E">
      <w:start w:val="1"/>
      <w:numFmt w:val="decimal"/>
      <w:lvlText w:val="%1."/>
      <w:lvlJc w:val="left"/>
      <w:pPr>
        <w:ind w:left="1574" w:hanging="361"/>
      </w:pPr>
      <w:rPr>
        <w:rFonts w:hint="default"/>
        <w:w w:val="97"/>
        <w:lang w:val="en-US" w:eastAsia="en-US" w:bidi="ar-SA"/>
      </w:rPr>
    </w:lvl>
    <w:lvl w:ilvl="1" w:tplc="E1FE842C">
      <w:numFmt w:val="bullet"/>
      <w:lvlText w:val="•"/>
      <w:lvlJc w:val="left"/>
      <w:pPr>
        <w:ind w:left="2474" w:hanging="361"/>
      </w:pPr>
      <w:rPr>
        <w:rFonts w:hint="default"/>
        <w:lang w:val="en-US" w:eastAsia="en-US" w:bidi="ar-SA"/>
      </w:rPr>
    </w:lvl>
    <w:lvl w:ilvl="2" w:tplc="012C4C78">
      <w:numFmt w:val="bullet"/>
      <w:lvlText w:val="•"/>
      <w:lvlJc w:val="left"/>
      <w:pPr>
        <w:ind w:left="3368" w:hanging="361"/>
      </w:pPr>
      <w:rPr>
        <w:rFonts w:hint="default"/>
        <w:lang w:val="en-US" w:eastAsia="en-US" w:bidi="ar-SA"/>
      </w:rPr>
    </w:lvl>
    <w:lvl w:ilvl="3" w:tplc="168C759C">
      <w:numFmt w:val="bullet"/>
      <w:lvlText w:val="•"/>
      <w:lvlJc w:val="left"/>
      <w:pPr>
        <w:ind w:left="4262" w:hanging="361"/>
      </w:pPr>
      <w:rPr>
        <w:rFonts w:hint="default"/>
        <w:lang w:val="en-US" w:eastAsia="en-US" w:bidi="ar-SA"/>
      </w:rPr>
    </w:lvl>
    <w:lvl w:ilvl="4" w:tplc="841A6AAA">
      <w:numFmt w:val="bullet"/>
      <w:lvlText w:val="•"/>
      <w:lvlJc w:val="left"/>
      <w:pPr>
        <w:ind w:left="5156" w:hanging="361"/>
      </w:pPr>
      <w:rPr>
        <w:rFonts w:hint="default"/>
        <w:lang w:val="en-US" w:eastAsia="en-US" w:bidi="ar-SA"/>
      </w:rPr>
    </w:lvl>
    <w:lvl w:ilvl="5" w:tplc="7CA2B106">
      <w:numFmt w:val="bullet"/>
      <w:lvlText w:val="•"/>
      <w:lvlJc w:val="left"/>
      <w:pPr>
        <w:ind w:left="6050" w:hanging="361"/>
      </w:pPr>
      <w:rPr>
        <w:rFonts w:hint="default"/>
        <w:lang w:val="en-US" w:eastAsia="en-US" w:bidi="ar-SA"/>
      </w:rPr>
    </w:lvl>
    <w:lvl w:ilvl="6" w:tplc="C61E1790">
      <w:numFmt w:val="bullet"/>
      <w:lvlText w:val="•"/>
      <w:lvlJc w:val="left"/>
      <w:pPr>
        <w:ind w:left="6944" w:hanging="361"/>
      </w:pPr>
      <w:rPr>
        <w:rFonts w:hint="default"/>
        <w:lang w:val="en-US" w:eastAsia="en-US" w:bidi="ar-SA"/>
      </w:rPr>
    </w:lvl>
    <w:lvl w:ilvl="7" w:tplc="5E0EB76E">
      <w:numFmt w:val="bullet"/>
      <w:lvlText w:val="•"/>
      <w:lvlJc w:val="left"/>
      <w:pPr>
        <w:ind w:left="7838" w:hanging="361"/>
      </w:pPr>
      <w:rPr>
        <w:rFonts w:hint="default"/>
        <w:lang w:val="en-US" w:eastAsia="en-US" w:bidi="ar-SA"/>
      </w:rPr>
    </w:lvl>
    <w:lvl w:ilvl="8" w:tplc="85CA1B50">
      <w:numFmt w:val="bullet"/>
      <w:lvlText w:val="•"/>
      <w:lvlJc w:val="left"/>
      <w:pPr>
        <w:ind w:left="8732" w:hanging="361"/>
      </w:pPr>
      <w:rPr>
        <w:rFonts w:hint="default"/>
        <w:lang w:val="en-US" w:eastAsia="en-US" w:bidi="ar-SA"/>
      </w:rPr>
    </w:lvl>
  </w:abstractNum>
  <w:abstractNum w:abstractNumId="13" w15:restartNumberingAfterBreak="0">
    <w:nsid w:val="238276BA"/>
    <w:multiLevelType w:val="hybridMultilevel"/>
    <w:tmpl w:val="A44C6CF8"/>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4614D10"/>
    <w:multiLevelType w:val="hybridMultilevel"/>
    <w:tmpl w:val="68D05A70"/>
    <w:lvl w:ilvl="0" w:tplc="08ECA18A">
      <w:numFmt w:val="bullet"/>
      <w:lvlText w:val="o"/>
      <w:lvlJc w:val="left"/>
      <w:pPr>
        <w:ind w:left="1562" w:hanging="351"/>
      </w:pPr>
      <w:rPr>
        <w:rFonts w:ascii="Calibri" w:eastAsia="Calibri" w:hAnsi="Calibri" w:cs="Calibri" w:hint="default"/>
        <w:b w:val="0"/>
        <w:bCs w:val="0"/>
        <w:i w:val="0"/>
        <w:iCs w:val="0"/>
        <w:w w:val="98"/>
        <w:sz w:val="23"/>
        <w:szCs w:val="23"/>
        <w:lang w:val="en-US" w:eastAsia="en-US" w:bidi="ar-SA"/>
      </w:rPr>
    </w:lvl>
    <w:lvl w:ilvl="1" w:tplc="95E60A16">
      <w:numFmt w:val="bullet"/>
      <w:lvlText w:val="•"/>
      <w:lvlJc w:val="left"/>
      <w:pPr>
        <w:ind w:left="2282" w:hanging="363"/>
      </w:pPr>
      <w:rPr>
        <w:rFonts w:ascii="Calibri" w:eastAsia="Calibri" w:hAnsi="Calibri" w:cs="Calibri" w:hint="default"/>
        <w:b w:val="0"/>
        <w:bCs w:val="0"/>
        <w:i w:val="0"/>
        <w:iCs w:val="0"/>
        <w:w w:val="92"/>
        <w:sz w:val="23"/>
        <w:szCs w:val="23"/>
        <w:lang w:val="en-US" w:eastAsia="en-US" w:bidi="ar-SA"/>
      </w:rPr>
    </w:lvl>
    <w:lvl w:ilvl="2" w:tplc="6E3C7A58">
      <w:numFmt w:val="bullet"/>
      <w:lvlText w:val="•"/>
      <w:lvlJc w:val="left"/>
      <w:pPr>
        <w:ind w:left="3378" w:hanging="363"/>
      </w:pPr>
      <w:rPr>
        <w:rFonts w:hint="default"/>
        <w:lang w:val="en-US" w:eastAsia="en-US" w:bidi="ar-SA"/>
      </w:rPr>
    </w:lvl>
    <w:lvl w:ilvl="3" w:tplc="DD164DFE">
      <w:numFmt w:val="bullet"/>
      <w:lvlText w:val="•"/>
      <w:lvlJc w:val="left"/>
      <w:pPr>
        <w:ind w:left="4477" w:hanging="363"/>
      </w:pPr>
      <w:rPr>
        <w:rFonts w:hint="default"/>
        <w:lang w:val="en-US" w:eastAsia="en-US" w:bidi="ar-SA"/>
      </w:rPr>
    </w:lvl>
    <w:lvl w:ilvl="4" w:tplc="8E304D38">
      <w:numFmt w:val="bullet"/>
      <w:lvlText w:val="•"/>
      <w:lvlJc w:val="left"/>
      <w:pPr>
        <w:ind w:left="5576" w:hanging="363"/>
      </w:pPr>
      <w:rPr>
        <w:rFonts w:hint="default"/>
        <w:lang w:val="en-US" w:eastAsia="en-US" w:bidi="ar-SA"/>
      </w:rPr>
    </w:lvl>
    <w:lvl w:ilvl="5" w:tplc="CB6A3B88">
      <w:numFmt w:val="bullet"/>
      <w:lvlText w:val="•"/>
      <w:lvlJc w:val="left"/>
      <w:pPr>
        <w:ind w:left="6674" w:hanging="363"/>
      </w:pPr>
      <w:rPr>
        <w:rFonts w:hint="default"/>
        <w:lang w:val="en-US" w:eastAsia="en-US" w:bidi="ar-SA"/>
      </w:rPr>
    </w:lvl>
    <w:lvl w:ilvl="6" w:tplc="46884438">
      <w:numFmt w:val="bullet"/>
      <w:lvlText w:val="•"/>
      <w:lvlJc w:val="left"/>
      <w:pPr>
        <w:ind w:left="7773" w:hanging="363"/>
      </w:pPr>
      <w:rPr>
        <w:rFonts w:hint="default"/>
        <w:lang w:val="en-US" w:eastAsia="en-US" w:bidi="ar-SA"/>
      </w:rPr>
    </w:lvl>
    <w:lvl w:ilvl="7" w:tplc="950ED698">
      <w:numFmt w:val="bullet"/>
      <w:lvlText w:val="•"/>
      <w:lvlJc w:val="left"/>
      <w:pPr>
        <w:ind w:left="8872" w:hanging="363"/>
      </w:pPr>
      <w:rPr>
        <w:rFonts w:hint="default"/>
        <w:lang w:val="en-US" w:eastAsia="en-US" w:bidi="ar-SA"/>
      </w:rPr>
    </w:lvl>
    <w:lvl w:ilvl="8" w:tplc="429A851A">
      <w:numFmt w:val="bullet"/>
      <w:lvlText w:val="•"/>
      <w:lvlJc w:val="left"/>
      <w:pPr>
        <w:ind w:left="9970" w:hanging="363"/>
      </w:pPr>
      <w:rPr>
        <w:rFonts w:hint="default"/>
        <w:lang w:val="en-US" w:eastAsia="en-US" w:bidi="ar-SA"/>
      </w:rPr>
    </w:lvl>
  </w:abstractNum>
  <w:abstractNum w:abstractNumId="15" w15:restartNumberingAfterBreak="0">
    <w:nsid w:val="24811FFE"/>
    <w:multiLevelType w:val="hybridMultilevel"/>
    <w:tmpl w:val="30A46B16"/>
    <w:lvl w:ilvl="0" w:tplc="04270003">
      <w:start w:val="1"/>
      <w:numFmt w:val="bullet"/>
      <w:lvlText w:val="o"/>
      <w:lvlJc w:val="left"/>
      <w:pPr>
        <w:ind w:left="765" w:hanging="360"/>
      </w:pPr>
      <w:rPr>
        <w:rFonts w:ascii="Courier New" w:hAnsi="Courier New" w:cs="Courier New"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6" w15:restartNumberingAfterBreak="0">
    <w:nsid w:val="24A806FE"/>
    <w:multiLevelType w:val="hybridMultilevel"/>
    <w:tmpl w:val="CD7E0850"/>
    <w:lvl w:ilvl="0" w:tplc="CA466CEA">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8DF1B62"/>
    <w:multiLevelType w:val="hybridMultilevel"/>
    <w:tmpl w:val="49EC627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AD14E76"/>
    <w:multiLevelType w:val="multilevel"/>
    <w:tmpl w:val="7EDC5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9833BE"/>
    <w:multiLevelType w:val="hybridMultilevel"/>
    <w:tmpl w:val="47D294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3306408"/>
    <w:multiLevelType w:val="hybridMultilevel"/>
    <w:tmpl w:val="C0506AAA"/>
    <w:lvl w:ilvl="0" w:tplc="8C7CE0AA">
      <w:start w:val="1"/>
      <w:numFmt w:val="bullet"/>
      <w:lvlText w:val=""/>
      <w:lvlJc w:val="left"/>
      <w:pPr>
        <w:ind w:left="72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34C535AD"/>
    <w:multiLevelType w:val="hybridMultilevel"/>
    <w:tmpl w:val="3D624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A550709"/>
    <w:multiLevelType w:val="hybridMultilevel"/>
    <w:tmpl w:val="37483A5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F41583F"/>
    <w:multiLevelType w:val="hybridMultilevel"/>
    <w:tmpl w:val="5C1AD3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04978B3"/>
    <w:multiLevelType w:val="hybridMultilevel"/>
    <w:tmpl w:val="6E762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7CB02DD"/>
    <w:multiLevelType w:val="hybridMultilevel"/>
    <w:tmpl w:val="FC1A09A2"/>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8F75CB8"/>
    <w:multiLevelType w:val="hybridMultilevel"/>
    <w:tmpl w:val="B7DAB886"/>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BEF6561"/>
    <w:multiLevelType w:val="hybridMultilevel"/>
    <w:tmpl w:val="078838C0"/>
    <w:lvl w:ilvl="0" w:tplc="94B0A66A">
      <w:numFmt w:val="bullet"/>
      <w:lvlText w:val="•"/>
      <w:lvlJc w:val="left"/>
      <w:pPr>
        <w:ind w:left="2281" w:hanging="363"/>
      </w:pPr>
      <w:rPr>
        <w:rFonts w:ascii="Calibri" w:eastAsia="Calibri" w:hAnsi="Calibri" w:cs="Calibri" w:hint="default"/>
        <w:b w:val="0"/>
        <w:bCs w:val="0"/>
        <w:i w:val="0"/>
        <w:iCs w:val="0"/>
        <w:w w:val="92"/>
        <w:sz w:val="23"/>
        <w:szCs w:val="23"/>
        <w:lang w:val="en-US" w:eastAsia="en-US" w:bidi="ar-SA"/>
      </w:rPr>
    </w:lvl>
    <w:lvl w:ilvl="1" w:tplc="C55042EA">
      <w:numFmt w:val="bullet"/>
      <w:lvlText w:val="•"/>
      <w:lvlJc w:val="left"/>
      <w:pPr>
        <w:ind w:left="3268" w:hanging="363"/>
      </w:pPr>
      <w:rPr>
        <w:rFonts w:hint="default"/>
        <w:lang w:val="en-US" w:eastAsia="en-US" w:bidi="ar-SA"/>
      </w:rPr>
    </w:lvl>
    <w:lvl w:ilvl="2" w:tplc="5D98FA06">
      <w:numFmt w:val="bullet"/>
      <w:lvlText w:val="•"/>
      <w:lvlJc w:val="left"/>
      <w:pPr>
        <w:ind w:left="4257" w:hanging="363"/>
      </w:pPr>
      <w:rPr>
        <w:rFonts w:hint="default"/>
        <w:lang w:val="en-US" w:eastAsia="en-US" w:bidi="ar-SA"/>
      </w:rPr>
    </w:lvl>
    <w:lvl w:ilvl="3" w:tplc="55865DE6">
      <w:numFmt w:val="bullet"/>
      <w:lvlText w:val="•"/>
      <w:lvlJc w:val="left"/>
      <w:pPr>
        <w:ind w:left="5246" w:hanging="363"/>
      </w:pPr>
      <w:rPr>
        <w:rFonts w:hint="default"/>
        <w:lang w:val="en-US" w:eastAsia="en-US" w:bidi="ar-SA"/>
      </w:rPr>
    </w:lvl>
    <w:lvl w:ilvl="4" w:tplc="C9BA662C">
      <w:numFmt w:val="bullet"/>
      <w:lvlText w:val="•"/>
      <w:lvlJc w:val="left"/>
      <w:pPr>
        <w:ind w:left="6235" w:hanging="363"/>
      </w:pPr>
      <w:rPr>
        <w:rFonts w:hint="default"/>
        <w:lang w:val="en-US" w:eastAsia="en-US" w:bidi="ar-SA"/>
      </w:rPr>
    </w:lvl>
    <w:lvl w:ilvl="5" w:tplc="04D602FE">
      <w:numFmt w:val="bullet"/>
      <w:lvlText w:val="•"/>
      <w:lvlJc w:val="left"/>
      <w:pPr>
        <w:ind w:left="7224" w:hanging="363"/>
      </w:pPr>
      <w:rPr>
        <w:rFonts w:hint="default"/>
        <w:lang w:val="en-US" w:eastAsia="en-US" w:bidi="ar-SA"/>
      </w:rPr>
    </w:lvl>
    <w:lvl w:ilvl="6" w:tplc="07B891F2">
      <w:numFmt w:val="bullet"/>
      <w:lvlText w:val="•"/>
      <w:lvlJc w:val="left"/>
      <w:pPr>
        <w:ind w:left="8212" w:hanging="363"/>
      </w:pPr>
      <w:rPr>
        <w:rFonts w:hint="default"/>
        <w:lang w:val="en-US" w:eastAsia="en-US" w:bidi="ar-SA"/>
      </w:rPr>
    </w:lvl>
    <w:lvl w:ilvl="7" w:tplc="99E2DD64">
      <w:numFmt w:val="bullet"/>
      <w:lvlText w:val="•"/>
      <w:lvlJc w:val="left"/>
      <w:pPr>
        <w:ind w:left="9201" w:hanging="363"/>
      </w:pPr>
      <w:rPr>
        <w:rFonts w:hint="default"/>
        <w:lang w:val="en-US" w:eastAsia="en-US" w:bidi="ar-SA"/>
      </w:rPr>
    </w:lvl>
    <w:lvl w:ilvl="8" w:tplc="0472D338">
      <w:numFmt w:val="bullet"/>
      <w:lvlText w:val="•"/>
      <w:lvlJc w:val="left"/>
      <w:pPr>
        <w:ind w:left="10190" w:hanging="363"/>
      </w:pPr>
      <w:rPr>
        <w:rFonts w:hint="default"/>
        <w:lang w:val="en-US" w:eastAsia="en-US" w:bidi="ar-SA"/>
      </w:rPr>
    </w:lvl>
  </w:abstractNum>
  <w:abstractNum w:abstractNumId="28" w15:restartNumberingAfterBreak="0">
    <w:nsid w:val="4C6502F2"/>
    <w:multiLevelType w:val="hybridMultilevel"/>
    <w:tmpl w:val="424CE5D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D5F6942"/>
    <w:multiLevelType w:val="hybridMultilevel"/>
    <w:tmpl w:val="9BAE00F8"/>
    <w:lvl w:ilvl="0" w:tplc="96409EDC">
      <w:numFmt w:val="bullet"/>
      <w:lvlText w:val="•"/>
      <w:lvlJc w:val="left"/>
      <w:pPr>
        <w:ind w:left="844" w:hanging="371"/>
      </w:pPr>
      <w:rPr>
        <w:rFonts w:ascii="Calibri" w:eastAsia="Calibri" w:hAnsi="Calibri" w:cs="Calibri" w:hint="default"/>
        <w:b w:val="0"/>
        <w:bCs w:val="0"/>
        <w:i w:val="0"/>
        <w:iCs w:val="0"/>
        <w:w w:val="94"/>
        <w:sz w:val="23"/>
        <w:szCs w:val="23"/>
        <w:lang w:val="en-US" w:eastAsia="en-US" w:bidi="ar-SA"/>
      </w:rPr>
    </w:lvl>
    <w:lvl w:ilvl="1" w:tplc="D3223E42">
      <w:numFmt w:val="bullet"/>
      <w:lvlText w:val="o"/>
      <w:lvlJc w:val="left"/>
      <w:pPr>
        <w:ind w:left="1206" w:hanging="351"/>
      </w:pPr>
      <w:rPr>
        <w:rFonts w:ascii="Calibri" w:eastAsia="Calibri" w:hAnsi="Calibri" w:cs="Calibri" w:hint="default"/>
        <w:b w:val="0"/>
        <w:bCs w:val="0"/>
        <w:i w:val="0"/>
        <w:iCs w:val="0"/>
        <w:w w:val="98"/>
        <w:sz w:val="23"/>
        <w:szCs w:val="23"/>
        <w:lang w:val="en-US" w:eastAsia="en-US" w:bidi="ar-SA"/>
      </w:rPr>
    </w:lvl>
    <w:lvl w:ilvl="2" w:tplc="B40262A8">
      <w:numFmt w:val="bullet"/>
      <w:lvlText w:val="•"/>
      <w:lvlJc w:val="left"/>
      <w:pPr>
        <w:ind w:left="2282" w:hanging="363"/>
      </w:pPr>
      <w:rPr>
        <w:rFonts w:ascii="Calibri" w:eastAsia="Calibri" w:hAnsi="Calibri" w:cs="Calibri" w:hint="default"/>
        <w:b w:val="0"/>
        <w:bCs w:val="0"/>
        <w:i w:val="0"/>
        <w:iCs w:val="0"/>
        <w:w w:val="92"/>
        <w:sz w:val="23"/>
        <w:szCs w:val="23"/>
        <w:lang w:val="en-US" w:eastAsia="en-US" w:bidi="ar-SA"/>
      </w:rPr>
    </w:lvl>
    <w:lvl w:ilvl="3" w:tplc="1EC00E68">
      <w:numFmt w:val="bullet"/>
      <w:lvlText w:val="•"/>
      <w:lvlJc w:val="left"/>
      <w:pPr>
        <w:ind w:left="2280" w:hanging="363"/>
      </w:pPr>
      <w:rPr>
        <w:rFonts w:hint="default"/>
        <w:lang w:val="en-US" w:eastAsia="en-US" w:bidi="ar-SA"/>
      </w:rPr>
    </w:lvl>
    <w:lvl w:ilvl="4" w:tplc="30B884BE">
      <w:numFmt w:val="bullet"/>
      <w:lvlText w:val="•"/>
      <w:lvlJc w:val="left"/>
      <w:pPr>
        <w:ind w:left="3692" w:hanging="363"/>
      </w:pPr>
      <w:rPr>
        <w:rFonts w:hint="default"/>
        <w:lang w:val="en-US" w:eastAsia="en-US" w:bidi="ar-SA"/>
      </w:rPr>
    </w:lvl>
    <w:lvl w:ilvl="5" w:tplc="F0E89DF4">
      <w:numFmt w:val="bullet"/>
      <w:lvlText w:val="•"/>
      <w:lvlJc w:val="left"/>
      <w:pPr>
        <w:ind w:left="5105" w:hanging="363"/>
      </w:pPr>
      <w:rPr>
        <w:rFonts w:hint="default"/>
        <w:lang w:val="en-US" w:eastAsia="en-US" w:bidi="ar-SA"/>
      </w:rPr>
    </w:lvl>
    <w:lvl w:ilvl="6" w:tplc="1326F146">
      <w:numFmt w:val="bullet"/>
      <w:lvlText w:val="•"/>
      <w:lvlJc w:val="left"/>
      <w:pPr>
        <w:ind w:left="6517" w:hanging="363"/>
      </w:pPr>
      <w:rPr>
        <w:rFonts w:hint="default"/>
        <w:lang w:val="en-US" w:eastAsia="en-US" w:bidi="ar-SA"/>
      </w:rPr>
    </w:lvl>
    <w:lvl w:ilvl="7" w:tplc="AFEC9FF0">
      <w:numFmt w:val="bullet"/>
      <w:lvlText w:val="•"/>
      <w:lvlJc w:val="left"/>
      <w:pPr>
        <w:ind w:left="7930" w:hanging="363"/>
      </w:pPr>
      <w:rPr>
        <w:rFonts w:hint="default"/>
        <w:lang w:val="en-US" w:eastAsia="en-US" w:bidi="ar-SA"/>
      </w:rPr>
    </w:lvl>
    <w:lvl w:ilvl="8" w:tplc="352681EC">
      <w:numFmt w:val="bullet"/>
      <w:lvlText w:val="•"/>
      <w:lvlJc w:val="left"/>
      <w:pPr>
        <w:ind w:left="9342" w:hanging="363"/>
      </w:pPr>
      <w:rPr>
        <w:rFonts w:hint="default"/>
        <w:lang w:val="en-US" w:eastAsia="en-US" w:bidi="ar-SA"/>
      </w:rPr>
    </w:lvl>
  </w:abstractNum>
  <w:abstractNum w:abstractNumId="30" w15:restartNumberingAfterBreak="0">
    <w:nsid w:val="52C33E77"/>
    <w:multiLevelType w:val="hybridMultilevel"/>
    <w:tmpl w:val="538EC8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4B26562"/>
    <w:multiLevelType w:val="hybridMultilevel"/>
    <w:tmpl w:val="B7E2E6E2"/>
    <w:lvl w:ilvl="0" w:tplc="CF104CCC">
      <w:start w:val="1"/>
      <w:numFmt w:val="upperRoman"/>
      <w:lvlText w:val="%1."/>
      <w:lvlJc w:val="left"/>
      <w:pPr>
        <w:ind w:left="1080" w:hanging="72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7441A2C"/>
    <w:multiLevelType w:val="hybridMultilevel"/>
    <w:tmpl w:val="9484FE6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3" w15:restartNumberingAfterBreak="0">
    <w:nsid w:val="5EB101B8"/>
    <w:multiLevelType w:val="hybridMultilevel"/>
    <w:tmpl w:val="08CE33B0"/>
    <w:lvl w:ilvl="0" w:tplc="AB380FEA">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12D47D1"/>
    <w:multiLevelType w:val="hybridMultilevel"/>
    <w:tmpl w:val="E16EF4CC"/>
    <w:lvl w:ilvl="0" w:tplc="D76862B0">
      <w:numFmt w:val="bullet"/>
      <w:lvlText w:val="•"/>
      <w:lvlJc w:val="left"/>
      <w:pPr>
        <w:ind w:left="851" w:hanging="368"/>
      </w:pPr>
      <w:rPr>
        <w:rFonts w:ascii="Calibri" w:eastAsia="Calibri" w:hAnsi="Calibri" w:cs="Calibri" w:hint="default"/>
        <w:b w:val="0"/>
        <w:bCs w:val="0"/>
        <w:i w:val="0"/>
        <w:iCs w:val="0"/>
        <w:w w:val="97"/>
        <w:sz w:val="23"/>
        <w:szCs w:val="23"/>
        <w:lang w:val="en-US" w:eastAsia="en-US" w:bidi="ar-SA"/>
      </w:rPr>
    </w:lvl>
    <w:lvl w:ilvl="1" w:tplc="78A26BD0">
      <w:numFmt w:val="bullet"/>
      <w:lvlText w:val="•"/>
      <w:lvlJc w:val="left"/>
      <w:pPr>
        <w:ind w:left="1560" w:hanging="368"/>
      </w:pPr>
      <w:rPr>
        <w:rFonts w:hint="default"/>
        <w:lang w:val="en-US" w:eastAsia="en-US" w:bidi="ar-SA"/>
      </w:rPr>
    </w:lvl>
    <w:lvl w:ilvl="2" w:tplc="9D845650">
      <w:numFmt w:val="bullet"/>
      <w:lvlText w:val="•"/>
      <w:lvlJc w:val="left"/>
      <w:pPr>
        <w:ind w:left="1580" w:hanging="368"/>
      </w:pPr>
      <w:rPr>
        <w:rFonts w:hint="default"/>
        <w:lang w:val="en-US" w:eastAsia="en-US" w:bidi="ar-SA"/>
      </w:rPr>
    </w:lvl>
    <w:lvl w:ilvl="3" w:tplc="A126BFE0">
      <w:numFmt w:val="bullet"/>
      <w:lvlText w:val="•"/>
      <w:lvlJc w:val="left"/>
      <w:pPr>
        <w:ind w:left="2904" w:hanging="368"/>
      </w:pPr>
      <w:rPr>
        <w:rFonts w:hint="default"/>
        <w:lang w:val="en-US" w:eastAsia="en-US" w:bidi="ar-SA"/>
      </w:rPr>
    </w:lvl>
    <w:lvl w:ilvl="4" w:tplc="9DCADD08">
      <w:numFmt w:val="bullet"/>
      <w:lvlText w:val="•"/>
      <w:lvlJc w:val="left"/>
      <w:pPr>
        <w:ind w:left="4228" w:hanging="368"/>
      </w:pPr>
      <w:rPr>
        <w:rFonts w:hint="default"/>
        <w:lang w:val="en-US" w:eastAsia="en-US" w:bidi="ar-SA"/>
      </w:rPr>
    </w:lvl>
    <w:lvl w:ilvl="5" w:tplc="32E4BD60">
      <w:numFmt w:val="bullet"/>
      <w:lvlText w:val="•"/>
      <w:lvlJc w:val="left"/>
      <w:pPr>
        <w:ind w:left="5552" w:hanging="368"/>
      </w:pPr>
      <w:rPr>
        <w:rFonts w:hint="default"/>
        <w:lang w:val="en-US" w:eastAsia="en-US" w:bidi="ar-SA"/>
      </w:rPr>
    </w:lvl>
    <w:lvl w:ilvl="6" w:tplc="A09CEEF2">
      <w:numFmt w:val="bullet"/>
      <w:lvlText w:val="•"/>
      <w:lvlJc w:val="left"/>
      <w:pPr>
        <w:ind w:left="6876" w:hanging="368"/>
      </w:pPr>
      <w:rPr>
        <w:rFonts w:hint="default"/>
        <w:lang w:val="en-US" w:eastAsia="en-US" w:bidi="ar-SA"/>
      </w:rPr>
    </w:lvl>
    <w:lvl w:ilvl="7" w:tplc="3C306C88">
      <w:numFmt w:val="bullet"/>
      <w:lvlText w:val="•"/>
      <w:lvlJc w:val="left"/>
      <w:pPr>
        <w:ind w:left="8200" w:hanging="368"/>
      </w:pPr>
      <w:rPr>
        <w:rFonts w:hint="default"/>
        <w:lang w:val="en-US" w:eastAsia="en-US" w:bidi="ar-SA"/>
      </w:rPr>
    </w:lvl>
    <w:lvl w:ilvl="8" w:tplc="33827708">
      <w:numFmt w:val="bullet"/>
      <w:lvlText w:val="•"/>
      <w:lvlJc w:val="left"/>
      <w:pPr>
        <w:ind w:left="9524" w:hanging="368"/>
      </w:pPr>
      <w:rPr>
        <w:rFonts w:hint="default"/>
        <w:lang w:val="en-US" w:eastAsia="en-US" w:bidi="ar-SA"/>
      </w:rPr>
    </w:lvl>
  </w:abstractNum>
  <w:abstractNum w:abstractNumId="35" w15:restartNumberingAfterBreak="0">
    <w:nsid w:val="635A3E1B"/>
    <w:multiLevelType w:val="hybridMultilevel"/>
    <w:tmpl w:val="B61A7840"/>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D036055"/>
    <w:multiLevelType w:val="hybridMultilevel"/>
    <w:tmpl w:val="BDF641C4"/>
    <w:lvl w:ilvl="0" w:tplc="EF36689C">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12F6369"/>
    <w:multiLevelType w:val="hybridMultilevel"/>
    <w:tmpl w:val="0C7C658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2F43B4E"/>
    <w:multiLevelType w:val="hybridMultilevel"/>
    <w:tmpl w:val="D2F246A0"/>
    <w:lvl w:ilvl="0" w:tplc="A612687C">
      <w:numFmt w:val="bullet"/>
      <w:lvlText w:val=""/>
      <w:lvlJc w:val="left"/>
      <w:pPr>
        <w:ind w:left="405" w:hanging="360"/>
      </w:pPr>
      <w:rPr>
        <w:rFonts w:ascii="Symbol" w:eastAsiaTheme="minorHAnsi" w:hAnsi="Symbol" w:cstheme="minorBid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9" w15:restartNumberingAfterBreak="0">
    <w:nsid w:val="7C146E03"/>
    <w:multiLevelType w:val="hybridMultilevel"/>
    <w:tmpl w:val="9CB07EAC"/>
    <w:lvl w:ilvl="0" w:tplc="40E27706">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8"/>
  </w:num>
  <w:num w:numId="4">
    <w:abstractNumId w:val="5"/>
  </w:num>
  <w:num w:numId="5">
    <w:abstractNumId w:val="37"/>
  </w:num>
  <w:num w:numId="6">
    <w:abstractNumId w:val="9"/>
  </w:num>
  <w:num w:numId="7">
    <w:abstractNumId w:val="15"/>
  </w:num>
  <w:num w:numId="8">
    <w:abstractNumId w:val="8"/>
  </w:num>
  <w:num w:numId="9">
    <w:abstractNumId w:val="36"/>
  </w:num>
  <w:num w:numId="10">
    <w:abstractNumId w:val="22"/>
  </w:num>
  <w:num w:numId="11">
    <w:abstractNumId w:val="16"/>
  </w:num>
  <w:num w:numId="12">
    <w:abstractNumId w:val="11"/>
  </w:num>
  <w:num w:numId="13">
    <w:abstractNumId w:val="39"/>
  </w:num>
  <w:num w:numId="14">
    <w:abstractNumId w:val="1"/>
  </w:num>
  <w:num w:numId="15">
    <w:abstractNumId w:val="33"/>
  </w:num>
  <w:num w:numId="16">
    <w:abstractNumId w:val="20"/>
  </w:num>
  <w:num w:numId="17">
    <w:abstractNumId w:val="19"/>
  </w:num>
  <w:num w:numId="18">
    <w:abstractNumId w:val="2"/>
  </w:num>
  <w:num w:numId="19">
    <w:abstractNumId w:val="12"/>
  </w:num>
  <w:num w:numId="20">
    <w:abstractNumId w:val="14"/>
  </w:num>
  <w:num w:numId="21">
    <w:abstractNumId w:val="27"/>
  </w:num>
  <w:num w:numId="22">
    <w:abstractNumId w:val="29"/>
  </w:num>
  <w:num w:numId="23">
    <w:abstractNumId w:val="34"/>
  </w:num>
  <w:num w:numId="24">
    <w:abstractNumId w:val="6"/>
  </w:num>
  <w:num w:numId="25">
    <w:abstractNumId w:val="13"/>
  </w:num>
  <w:num w:numId="26">
    <w:abstractNumId w:val="26"/>
  </w:num>
  <w:num w:numId="27">
    <w:abstractNumId w:val="10"/>
  </w:num>
  <w:num w:numId="28">
    <w:abstractNumId w:val="17"/>
  </w:num>
  <w:num w:numId="29">
    <w:abstractNumId w:val="25"/>
  </w:num>
  <w:num w:numId="30">
    <w:abstractNumId w:val="4"/>
  </w:num>
  <w:num w:numId="31">
    <w:abstractNumId w:val="35"/>
  </w:num>
  <w:num w:numId="32">
    <w:abstractNumId w:val="0"/>
  </w:num>
  <w:num w:numId="33">
    <w:abstractNumId w:val="0"/>
  </w:num>
  <w:num w:numId="34">
    <w:abstractNumId w:val="18"/>
  </w:num>
  <w:num w:numId="35">
    <w:abstractNumId w:val="32"/>
  </w:num>
  <w:num w:numId="36">
    <w:abstractNumId w:val="24"/>
  </w:num>
  <w:num w:numId="37">
    <w:abstractNumId w:val="21"/>
  </w:num>
  <w:num w:numId="38">
    <w:abstractNumId w:val="30"/>
  </w:num>
  <w:num w:numId="39">
    <w:abstractNumId w:val="23"/>
  </w:num>
  <w:num w:numId="40">
    <w:abstractNumId w:val="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FB"/>
    <w:rsid w:val="00001630"/>
    <w:rsid w:val="00002E3C"/>
    <w:rsid w:val="00007505"/>
    <w:rsid w:val="00010559"/>
    <w:rsid w:val="000138B5"/>
    <w:rsid w:val="0002180D"/>
    <w:rsid w:val="00023652"/>
    <w:rsid w:val="00024321"/>
    <w:rsid w:val="00030A7A"/>
    <w:rsid w:val="0003294F"/>
    <w:rsid w:val="00033B3A"/>
    <w:rsid w:val="000404BB"/>
    <w:rsid w:val="0004101F"/>
    <w:rsid w:val="00044659"/>
    <w:rsid w:val="00064AE0"/>
    <w:rsid w:val="000658F1"/>
    <w:rsid w:val="0006708B"/>
    <w:rsid w:val="00073B93"/>
    <w:rsid w:val="000770E2"/>
    <w:rsid w:val="00080C58"/>
    <w:rsid w:val="0009788C"/>
    <w:rsid w:val="000D4879"/>
    <w:rsid w:val="000E59CB"/>
    <w:rsid w:val="00101A34"/>
    <w:rsid w:val="0010317D"/>
    <w:rsid w:val="0010325D"/>
    <w:rsid w:val="00103BA0"/>
    <w:rsid w:val="00124D74"/>
    <w:rsid w:val="001327B2"/>
    <w:rsid w:val="00134626"/>
    <w:rsid w:val="00135725"/>
    <w:rsid w:val="00137616"/>
    <w:rsid w:val="0016617F"/>
    <w:rsid w:val="00170BFB"/>
    <w:rsid w:val="001873DC"/>
    <w:rsid w:val="001923DB"/>
    <w:rsid w:val="001955B3"/>
    <w:rsid w:val="001A009F"/>
    <w:rsid w:val="001A54D6"/>
    <w:rsid w:val="001A6F45"/>
    <w:rsid w:val="001B76CF"/>
    <w:rsid w:val="001C36F5"/>
    <w:rsid w:val="001D527B"/>
    <w:rsid w:val="001F0592"/>
    <w:rsid w:val="001F4BED"/>
    <w:rsid w:val="00216050"/>
    <w:rsid w:val="00220E25"/>
    <w:rsid w:val="00254711"/>
    <w:rsid w:val="002661C3"/>
    <w:rsid w:val="00287A2C"/>
    <w:rsid w:val="002912E2"/>
    <w:rsid w:val="00291F2C"/>
    <w:rsid w:val="0029631E"/>
    <w:rsid w:val="002973EF"/>
    <w:rsid w:val="002A6A21"/>
    <w:rsid w:val="002A6F4F"/>
    <w:rsid w:val="002B332E"/>
    <w:rsid w:val="002B55DF"/>
    <w:rsid w:val="002C65D0"/>
    <w:rsid w:val="002C704E"/>
    <w:rsid w:val="002E344C"/>
    <w:rsid w:val="002E62FC"/>
    <w:rsid w:val="00303451"/>
    <w:rsid w:val="00304779"/>
    <w:rsid w:val="00304C8C"/>
    <w:rsid w:val="00314D2B"/>
    <w:rsid w:val="00317501"/>
    <w:rsid w:val="00317986"/>
    <w:rsid w:val="00320FFD"/>
    <w:rsid w:val="00322038"/>
    <w:rsid w:val="003225FB"/>
    <w:rsid w:val="00340324"/>
    <w:rsid w:val="0034373E"/>
    <w:rsid w:val="003509C5"/>
    <w:rsid w:val="00355D7F"/>
    <w:rsid w:val="00360C35"/>
    <w:rsid w:val="003670C7"/>
    <w:rsid w:val="00370DED"/>
    <w:rsid w:val="00372197"/>
    <w:rsid w:val="00372B71"/>
    <w:rsid w:val="00374EC3"/>
    <w:rsid w:val="00376AB7"/>
    <w:rsid w:val="003827EB"/>
    <w:rsid w:val="003A189B"/>
    <w:rsid w:val="003A2768"/>
    <w:rsid w:val="003A75BE"/>
    <w:rsid w:val="003A7FFE"/>
    <w:rsid w:val="003B1433"/>
    <w:rsid w:val="003B664B"/>
    <w:rsid w:val="003C19FB"/>
    <w:rsid w:val="003C78E0"/>
    <w:rsid w:val="003D2F3F"/>
    <w:rsid w:val="003D6C61"/>
    <w:rsid w:val="003D7226"/>
    <w:rsid w:val="003D7781"/>
    <w:rsid w:val="003E4D84"/>
    <w:rsid w:val="003E5E89"/>
    <w:rsid w:val="003F3B9A"/>
    <w:rsid w:val="003F450F"/>
    <w:rsid w:val="0040277A"/>
    <w:rsid w:val="0040375E"/>
    <w:rsid w:val="00404E42"/>
    <w:rsid w:val="00432E68"/>
    <w:rsid w:val="004450CC"/>
    <w:rsid w:val="0045394F"/>
    <w:rsid w:val="0045758D"/>
    <w:rsid w:val="004714B4"/>
    <w:rsid w:val="004860AB"/>
    <w:rsid w:val="00490061"/>
    <w:rsid w:val="004976B5"/>
    <w:rsid w:val="004A0162"/>
    <w:rsid w:val="004A120A"/>
    <w:rsid w:val="004A401E"/>
    <w:rsid w:val="004A7E38"/>
    <w:rsid w:val="004B1119"/>
    <w:rsid w:val="004B387B"/>
    <w:rsid w:val="004B4C9C"/>
    <w:rsid w:val="004C5863"/>
    <w:rsid w:val="004C751A"/>
    <w:rsid w:val="004D2010"/>
    <w:rsid w:val="004D35D5"/>
    <w:rsid w:val="004D481A"/>
    <w:rsid w:val="004F381E"/>
    <w:rsid w:val="004F6AF9"/>
    <w:rsid w:val="00501D97"/>
    <w:rsid w:val="00502B80"/>
    <w:rsid w:val="00503540"/>
    <w:rsid w:val="005059A0"/>
    <w:rsid w:val="00506875"/>
    <w:rsid w:val="00516622"/>
    <w:rsid w:val="00523D10"/>
    <w:rsid w:val="00542B5D"/>
    <w:rsid w:val="005612DB"/>
    <w:rsid w:val="00566CB7"/>
    <w:rsid w:val="00570C8D"/>
    <w:rsid w:val="005751F8"/>
    <w:rsid w:val="005760B0"/>
    <w:rsid w:val="00576421"/>
    <w:rsid w:val="00583190"/>
    <w:rsid w:val="00584997"/>
    <w:rsid w:val="005877FA"/>
    <w:rsid w:val="005A35DE"/>
    <w:rsid w:val="005A4B45"/>
    <w:rsid w:val="005B35FF"/>
    <w:rsid w:val="005D0095"/>
    <w:rsid w:val="005D383A"/>
    <w:rsid w:val="005D40CE"/>
    <w:rsid w:val="005D760B"/>
    <w:rsid w:val="005E2459"/>
    <w:rsid w:val="005E2807"/>
    <w:rsid w:val="005E4E04"/>
    <w:rsid w:val="005E63EA"/>
    <w:rsid w:val="005E68A0"/>
    <w:rsid w:val="005F3135"/>
    <w:rsid w:val="005F34BF"/>
    <w:rsid w:val="005F5A8C"/>
    <w:rsid w:val="005F5BF5"/>
    <w:rsid w:val="00602F4C"/>
    <w:rsid w:val="00614644"/>
    <w:rsid w:val="00620636"/>
    <w:rsid w:val="00621003"/>
    <w:rsid w:val="006213D9"/>
    <w:rsid w:val="006269DF"/>
    <w:rsid w:val="00642992"/>
    <w:rsid w:val="00643289"/>
    <w:rsid w:val="00644A76"/>
    <w:rsid w:val="00672651"/>
    <w:rsid w:val="00673053"/>
    <w:rsid w:val="00694118"/>
    <w:rsid w:val="00697893"/>
    <w:rsid w:val="006A5153"/>
    <w:rsid w:val="006C5F54"/>
    <w:rsid w:val="006C64C7"/>
    <w:rsid w:val="006D00FA"/>
    <w:rsid w:val="006D109A"/>
    <w:rsid w:val="006E08C1"/>
    <w:rsid w:val="006E1146"/>
    <w:rsid w:val="006F0242"/>
    <w:rsid w:val="006F40CA"/>
    <w:rsid w:val="006F6CBC"/>
    <w:rsid w:val="006F6F01"/>
    <w:rsid w:val="00713715"/>
    <w:rsid w:val="00715ACE"/>
    <w:rsid w:val="00717A94"/>
    <w:rsid w:val="00720633"/>
    <w:rsid w:val="007235DC"/>
    <w:rsid w:val="00724D5E"/>
    <w:rsid w:val="0072560C"/>
    <w:rsid w:val="007354E9"/>
    <w:rsid w:val="00746225"/>
    <w:rsid w:val="00746BD6"/>
    <w:rsid w:val="007522AD"/>
    <w:rsid w:val="007621F1"/>
    <w:rsid w:val="007625AF"/>
    <w:rsid w:val="00762F17"/>
    <w:rsid w:val="00765D48"/>
    <w:rsid w:val="007726DE"/>
    <w:rsid w:val="00774968"/>
    <w:rsid w:val="00784A91"/>
    <w:rsid w:val="00784B41"/>
    <w:rsid w:val="00794C8A"/>
    <w:rsid w:val="00795BAB"/>
    <w:rsid w:val="00796051"/>
    <w:rsid w:val="007A00AA"/>
    <w:rsid w:val="007A2692"/>
    <w:rsid w:val="007B2D00"/>
    <w:rsid w:val="007B2D9A"/>
    <w:rsid w:val="007B4548"/>
    <w:rsid w:val="007C6642"/>
    <w:rsid w:val="007F69E4"/>
    <w:rsid w:val="00826481"/>
    <w:rsid w:val="008416D5"/>
    <w:rsid w:val="00855F81"/>
    <w:rsid w:val="00856BA6"/>
    <w:rsid w:val="0086289E"/>
    <w:rsid w:val="00864FF0"/>
    <w:rsid w:val="00867470"/>
    <w:rsid w:val="00875756"/>
    <w:rsid w:val="0089108A"/>
    <w:rsid w:val="00894EC0"/>
    <w:rsid w:val="00895545"/>
    <w:rsid w:val="00895A60"/>
    <w:rsid w:val="008969FE"/>
    <w:rsid w:val="008972A9"/>
    <w:rsid w:val="00897DFD"/>
    <w:rsid w:val="008A02FB"/>
    <w:rsid w:val="008A0959"/>
    <w:rsid w:val="008A6B7B"/>
    <w:rsid w:val="008C4E6C"/>
    <w:rsid w:val="008D516A"/>
    <w:rsid w:val="008E1008"/>
    <w:rsid w:val="008E51F3"/>
    <w:rsid w:val="008F2E13"/>
    <w:rsid w:val="008F470A"/>
    <w:rsid w:val="008F6C0B"/>
    <w:rsid w:val="008F6E19"/>
    <w:rsid w:val="009102B8"/>
    <w:rsid w:val="00911BFB"/>
    <w:rsid w:val="00912FF0"/>
    <w:rsid w:val="00913FE4"/>
    <w:rsid w:val="009143E8"/>
    <w:rsid w:val="0093084B"/>
    <w:rsid w:val="00941518"/>
    <w:rsid w:val="009474AA"/>
    <w:rsid w:val="009572BF"/>
    <w:rsid w:val="009645F1"/>
    <w:rsid w:val="00971ADA"/>
    <w:rsid w:val="00991DB4"/>
    <w:rsid w:val="009971A8"/>
    <w:rsid w:val="00997618"/>
    <w:rsid w:val="009A4948"/>
    <w:rsid w:val="009B5592"/>
    <w:rsid w:val="009C31C1"/>
    <w:rsid w:val="009C3263"/>
    <w:rsid w:val="009C44F1"/>
    <w:rsid w:val="009D3510"/>
    <w:rsid w:val="009D38BF"/>
    <w:rsid w:val="009D3FE4"/>
    <w:rsid w:val="009D5B37"/>
    <w:rsid w:val="009E3D4A"/>
    <w:rsid w:val="009E592C"/>
    <w:rsid w:val="009F2D18"/>
    <w:rsid w:val="009F46FC"/>
    <w:rsid w:val="00A021EF"/>
    <w:rsid w:val="00A03BC7"/>
    <w:rsid w:val="00A07D9C"/>
    <w:rsid w:val="00A16592"/>
    <w:rsid w:val="00A204F8"/>
    <w:rsid w:val="00A26485"/>
    <w:rsid w:val="00A3121B"/>
    <w:rsid w:val="00A43857"/>
    <w:rsid w:val="00A5126B"/>
    <w:rsid w:val="00A51D78"/>
    <w:rsid w:val="00A52B11"/>
    <w:rsid w:val="00A55811"/>
    <w:rsid w:val="00A55CDA"/>
    <w:rsid w:val="00A56003"/>
    <w:rsid w:val="00A72ABE"/>
    <w:rsid w:val="00A9371A"/>
    <w:rsid w:val="00AA0CB5"/>
    <w:rsid w:val="00AA2183"/>
    <w:rsid w:val="00AA7170"/>
    <w:rsid w:val="00AB0E0A"/>
    <w:rsid w:val="00AB3CC3"/>
    <w:rsid w:val="00AC3506"/>
    <w:rsid w:val="00AC70C3"/>
    <w:rsid w:val="00AE0A3C"/>
    <w:rsid w:val="00AE5712"/>
    <w:rsid w:val="00AE6528"/>
    <w:rsid w:val="00B0411A"/>
    <w:rsid w:val="00B04C73"/>
    <w:rsid w:val="00B10BD4"/>
    <w:rsid w:val="00B12131"/>
    <w:rsid w:val="00B2081E"/>
    <w:rsid w:val="00B22EC6"/>
    <w:rsid w:val="00B25B84"/>
    <w:rsid w:val="00B2694C"/>
    <w:rsid w:val="00B271DD"/>
    <w:rsid w:val="00B30400"/>
    <w:rsid w:val="00B40BAB"/>
    <w:rsid w:val="00B47D0F"/>
    <w:rsid w:val="00B71A2B"/>
    <w:rsid w:val="00B76688"/>
    <w:rsid w:val="00B86508"/>
    <w:rsid w:val="00B93980"/>
    <w:rsid w:val="00BA051B"/>
    <w:rsid w:val="00BB2856"/>
    <w:rsid w:val="00BB350D"/>
    <w:rsid w:val="00BB40C8"/>
    <w:rsid w:val="00BB434D"/>
    <w:rsid w:val="00BC232A"/>
    <w:rsid w:val="00BD0CBC"/>
    <w:rsid w:val="00BD48DC"/>
    <w:rsid w:val="00BE1CF8"/>
    <w:rsid w:val="00BE252A"/>
    <w:rsid w:val="00BF2A0C"/>
    <w:rsid w:val="00BF48ED"/>
    <w:rsid w:val="00BF6095"/>
    <w:rsid w:val="00BF686A"/>
    <w:rsid w:val="00BF7C17"/>
    <w:rsid w:val="00C00A6D"/>
    <w:rsid w:val="00C01EA5"/>
    <w:rsid w:val="00C11643"/>
    <w:rsid w:val="00C11C5E"/>
    <w:rsid w:val="00C15250"/>
    <w:rsid w:val="00C22E9F"/>
    <w:rsid w:val="00C27B3D"/>
    <w:rsid w:val="00C27FEC"/>
    <w:rsid w:val="00C50BE1"/>
    <w:rsid w:val="00C57C8E"/>
    <w:rsid w:val="00C60EA5"/>
    <w:rsid w:val="00C71ABD"/>
    <w:rsid w:val="00C74038"/>
    <w:rsid w:val="00C7463A"/>
    <w:rsid w:val="00C76042"/>
    <w:rsid w:val="00C8660E"/>
    <w:rsid w:val="00C86CF6"/>
    <w:rsid w:val="00C928F6"/>
    <w:rsid w:val="00C94287"/>
    <w:rsid w:val="00C96E23"/>
    <w:rsid w:val="00CA51D2"/>
    <w:rsid w:val="00CB5D2B"/>
    <w:rsid w:val="00CB6160"/>
    <w:rsid w:val="00CB6DA0"/>
    <w:rsid w:val="00CC0C9E"/>
    <w:rsid w:val="00CC3438"/>
    <w:rsid w:val="00CC3DEC"/>
    <w:rsid w:val="00CD5199"/>
    <w:rsid w:val="00CE4959"/>
    <w:rsid w:val="00CF2411"/>
    <w:rsid w:val="00CF59BF"/>
    <w:rsid w:val="00CF7073"/>
    <w:rsid w:val="00CF7366"/>
    <w:rsid w:val="00D06AF5"/>
    <w:rsid w:val="00D07492"/>
    <w:rsid w:val="00D2727F"/>
    <w:rsid w:val="00D351AD"/>
    <w:rsid w:val="00D371E6"/>
    <w:rsid w:val="00D376FD"/>
    <w:rsid w:val="00D457D0"/>
    <w:rsid w:val="00D45D41"/>
    <w:rsid w:val="00D6110E"/>
    <w:rsid w:val="00D648E5"/>
    <w:rsid w:val="00D84C6D"/>
    <w:rsid w:val="00D8790C"/>
    <w:rsid w:val="00D959CD"/>
    <w:rsid w:val="00D95B68"/>
    <w:rsid w:val="00DA1207"/>
    <w:rsid w:val="00DA64BB"/>
    <w:rsid w:val="00DA64E1"/>
    <w:rsid w:val="00DD4D9C"/>
    <w:rsid w:val="00DF70E0"/>
    <w:rsid w:val="00E142D8"/>
    <w:rsid w:val="00E167F6"/>
    <w:rsid w:val="00E25906"/>
    <w:rsid w:val="00E25DDD"/>
    <w:rsid w:val="00E34616"/>
    <w:rsid w:val="00E50BA9"/>
    <w:rsid w:val="00E56A23"/>
    <w:rsid w:val="00E714D9"/>
    <w:rsid w:val="00E7735F"/>
    <w:rsid w:val="00E90989"/>
    <w:rsid w:val="00E92012"/>
    <w:rsid w:val="00E934F1"/>
    <w:rsid w:val="00EB460A"/>
    <w:rsid w:val="00EC5531"/>
    <w:rsid w:val="00ED41C3"/>
    <w:rsid w:val="00ED7114"/>
    <w:rsid w:val="00EF1CA5"/>
    <w:rsid w:val="00F20896"/>
    <w:rsid w:val="00F33434"/>
    <w:rsid w:val="00F41B03"/>
    <w:rsid w:val="00F46F50"/>
    <w:rsid w:val="00F52507"/>
    <w:rsid w:val="00F542C6"/>
    <w:rsid w:val="00F6432B"/>
    <w:rsid w:val="00F6677B"/>
    <w:rsid w:val="00F71945"/>
    <w:rsid w:val="00F746D6"/>
    <w:rsid w:val="00F800A7"/>
    <w:rsid w:val="00F81DB0"/>
    <w:rsid w:val="00F91274"/>
    <w:rsid w:val="00F91EBD"/>
    <w:rsid w:val="00F94A4D"/>
    <w:rsid w:val="00F97AEE"/>
    <w:rsid w:val="00FA7F87"/>
    <w:rsid w:val="00FC6B06"/>
    <w:rsid w:val="00FC6B1F"/>
    <w:rsid w:val="00FD2A46"/>
    <w:rsid w:val="00FD78F2"/>
    <w:rsid w:val="00FE39E3"/>
    <w:rsid w:val="00FE4F83"/>
    <w:rsid w:val="00FF6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3E7647"/>
  <w15:chartTrackingRefBased/>
  <w15:docId w15:val="{BFB67E3C-F2B3-4C76-8B67-A518A008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D2B"/>
  </w:style>
  <w:style w:type="paragraph" w:styleId="Heading1">
    <w:name w:val="heading 1"/>
    <w:basedOn w:val="Normal"/>
    <w:link w:val="Heading1Char"/>
    <w:uiPriority w:val="1"/>
    <w:qFormat/>
    <w:rsid w:val="006F6CBC"/>
    <w:pPr>
      <w:widowControl w:val="0"/>
      <w:autoSpaceDE w:val="0"/>
      <w:autoSpaceDN w:val="0"/>
      <w:spacing w:before="190" w:after="0" w:line="240" w:lineRule="auto"/>
      <w:ind w:left="1571" w:hanging="359"/>
      <w:outlineLvl w:val="0"/>
    </w:pPr>
    <w:rPr>
      <w:rFonts w:ascii="Times New Roman" w:eastAsia="Times New Roman" w:hAnsi="Times New Roman" w:cs="Times New Roman"/>
      <w:b/>
      <w:bCs/>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BFB"/>
    <w:pPr>
      <w:ind w:left="720"/>
      <w:contextualSpacing/>
    </w:pPr>
  </w:style>
  <w:style w:type="character" w:styleId="CommentReference">
    <w:name w:val="annotation reference"/>
    <w:basedOn w:val="DefaultParagraphFont"/>
    <w:uiPriority w:val="99"/>
    <w:semiHidden/>
    <w:unhideWhenUsed/>
    <w:rsid w:val="00796051"/>
    <w:rPr>
      <w:sz w:val="16"/>
      <w:szCs w:val="16"/>
    </w:rPr>
  </w:style>
  <w:style w:type="paragraph" w:styleId="CommentText">
    <w:name w:val="annotation text"/>
    <w:basedOn w:val="Normal"/>
    <w:link w:val="CommentTextChar"/>
    <w:uiPriority w:val="99"/>
    <w:semiHidden/>
    <w:unhideWhenUsed/>
    <w:rsid w:val="00796051"/>
    <w:pPr>
      <w:spacing w:line="240" w:lineRule="auto"/>
    </w:pPr>
    <w:rPr>
      <w:sz w:val="20"/>
      <w:szCs w:val="20"/>
    </w:rPr>
  </w:style>
  <w:style w:type="character" w:customStyle="1" w:styleId="CommentTextChar">
    <w:name w:val="Comment Text Char"/>
    <w:basedOn w:val="DefaultParagraphFont"/>
    <w:link w:val="CommentText"/>
    <w:uiPriority w:val="99"/>
    <w:semiHidden/>
    <w:rsid w:val="00796051"/>
    <w:rPr>
      <w:sz w:val="20"/>
      <w:szCs w:val="20"/>
    </w:rPr>
  </w:style>
  <w:style w:type="paragraph" w:styleId="CommentSubject">
    <w:name w:val="annotation subject"/>
    <w:basedOn w:val="CommentText"/>
    <w:next w:val="CommentText"/>
    <w:link w:val="CommentSubjectChar"/>
    <w:uiPriority w:val="99"/>
    <w:semiHidden/>
    <w:unhideWhenUsed/>
    <w:rsid w:val="00796051"/>
    <w:rPr>
      <w:b/>
      <w:bCs/>
    </w:rPr>
  </w:style>
  <w:style w:type="character" w:customStyle="1" w:styleId="CommentSubjectChar">
    <w:name w:val="Comment Subject Char"/>
    <w:basedOn w:val="CommentTextChar"/>
    <w:link w:val="CommentSubject"/>
    <w:uiPriority w:val="99"/>
    <w:semiHidden/>
    <w:rsid w:val="00796051"/>
    <w:rPr>
      <w:b/>
      <w:bCs/>
      <w:sz w:val="20"/>
      <w:szCs w:val="20"/>
    </w:rPr>
  </w:style>
  <w:style w:type="paragraph" w:styleId="BalloonText">
    <w:name w:val="Balloon Text"/>
    <w:basedOn w:val="Normal"/>
    <w:link w:val="BalloonTextChar"/>
    <w:uiPriority w:val="99"/>
    <w:semiHidden/>
    <w:unhideWhenUsed/>
    <w:rsid w:val="00796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51"/>
    <w:rPr>
      <w:rFonts w:ascii="Segoe UI" w:hAnsi="Segoe UI" w:cs="Segoe UI"/>
      <w:sz w:val="18"/>
      <w:szCs w:val="18"/>
    </w:rPr>
  </w:style>
  <w:style w:type="paragraph" w:styleId="FootnoteText">
    <w:name w:val="footnote text"/>
    <w:basedOn w:val="Normal"/>
    <w:link w:val="FootnoteTextChar"/>
    <w:uiPriority w:val="99"/>
    <w:semiHidden/>
    <w:unhideWhenUsed/>
    <w:rsid w:val="00855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F81"/>
    <w:rPr>
      <w:sz w:val="20"/>
      <w:szCs w:val="20"/>
    </w:rPr>
  </w:style>
  <w:style w:type="character" w:styleId="FootnoteReference">
    <w:name w:val="footnote reference"/>
    <w:basedOn w:val="DefaultParagraphFont"/>
    <w:uiPriority w:val="99"/>
    <w:semiHidden/>
    <w:unhideWhenUsed/>
    <w:rsid w:val="00855F81"/>
    <w:rPr>
      <w:vertAlign w:val="superscript"/>
    </w:rPr>
  </w:style>
  <w:style w:type="paragraph" w:styleId="Header">
    <w:name w:val="header"/>
    <w:basedOn w:val="Normal"/>
    <w:link w:val="HeaderChar"/>
    <w:uiPriority w:val="99"/>
    <w:unhideWhenUsed/>
    <w:rsid w:val="00F542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42C6"/>
  </w:style>
  <w:style w:type="paragraph" w:styleId="Footer">
    <w:name w:val="footer"/>
    <w:basedOn w:val="Normal"/>
    <w:link w:val="FooterChar"/>
    <w:uiPriority w:val="99"/>
    <w:unhideWhenUsed/>
    <w:rsid w:val="00F542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42C6"/>
  </w:style>
  <w:style w:type="paragraph" w:styleId="BodyText">
    <w:name w:val="Body Text"/>
    <w:basedOn w:val="Normal"/>
    <w:link w:val="BodyTextChar"/>
    <w:uiPriority w:val="1"/>
    <w:qFormat/>
    <w:rsid w:val="00826481"/>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BodyTextChar">
    <w:name w:val="Body Text Char"/>
    <w:basedOn w:val="DefaultParagraphFont"/>
    <w:link w:val="BodyText"/>
    <w:uiPriority w:val="1"/>
    <w:rsid w:val="00826481"/>
    <w:rPr>
      <w:rFonts w:ascii="Times New Roman" w:eastAsia="Times New Roman" w:hAnsi="Times New Roman" w:cs="Times New Roman"/>
      <w:sz w:val="25"/>
      <w:szCs w:val="25"/>
      <w:lang w:val="en-US"/>
    </w:rPr>
  </w:style>
  <w:style w:type="character" w:customStyle="1" w:styleId="Heading1Char">
    <w:name w:val="Heading 1 Char"/>
    <w:basedOn w:val="DefaultParagraphFont"/>
    <w:link w:val="Heading1"/>
    <w:uiPriority w:val="1"/>
    <w:rsid w:val="006F6CBC"/>
    <w:rPr>
      <w:rFonts w:ascii="Times New Roman" w:eastAsia="Times New Roman" w:hAnsi="Times New Roman" w:cs="Times New Roman"/>
      <w:b/>
      <w:bCs/>
      <w:sz w:val="25"/>
      <w:szCs w:val="25"/>
      <w:lang w:val="en-US"/>
    </w:rPr>
  </w:style>
  <w:style w:type="table" w:customStyle="1" w:styleId="TableNormal1">
    <w:name w:val="Table Normal1"/>
    <w:uiPriority w:val="2"/>
    <w:semiHidden/>
    <w:unhideWhenUsed/>
    <w:qFormat/>
    <w:rsid w:val="00166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617F"/>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033B3A"/>
    <w:rPr>
      <w:color w:val="0563C1" w:themeColor="hyperlink"/>
      <w:u w:val="single"/>
    </w:rPr>
  </w:style>
  <w:style w:type="character" w:customStyle="1" w:styleId="UnresolvedMention1">
    <w:name w:val="Unresolved Mention1"/>
    <w:basedOn w:val="DefaultParagraphFont"/>
    <w:uiPriority w:val="99"/>
    <w:semiHidden/>
    <w:unhideWhenUsed/>
    <w:rsid w:val="00033B3A"/>
    <w:rPr>
      <w:color w:val="605E5C"/>
      <w:shd w:val="clear" w:color="auto" w:fill="E1DFDD"/>
    </w:rPr>
  </w:style>
  <w:style w:type="character" w:customStyle="1" w:styleId="UnresolvedMention2">
    <w:name w:val="Unresolved Mention2"/>
    <w:basedOn w:val="DefaultParagraphFont"/>
    <w:uiPriority w:val="99"/>
    <w:semiHidden/>
    <w:unhideWhenUsed/>
    <w:rsid w:val="00F33434"/>
    <w:rPr>
      <w:color w:val="605E5C"/>
      <w:shd w:val="clear" w:color="auto" w:fill="E1DFDD"/>
    </w:rPr>
  </w:style>
  <w:style w:type="character" w:styleId="FollowedHyperlink">
    <w:name w:val="FollowedHyperlink"/>
    <w:basedOn w:val="DefaultParagraphFont"/>
    <w:uiPriority w:val="99"/>
    <w:semiHidden/>
    <w:unhideWhenUsed/>
    <w:rsid w:val="00F33434"/>
    <w:rPr>
      <w:color w:val="954F72" w:themeColor="followedHyperlink"/>
      <w:u w:val="single"/>
    </w:rPr>
  </w:style>
  <w:style w:type="character" w:customStyle="1" w:styleId="UnresolvedMention3">
    <w:name w:val="Unresolved Mention3"/>
    <w:basedOn w:val="DefaultParagraphFont"/>
    <w:uiPriority w:val="99"/>
    <w:semiHidden/>
    <w:unhideWhenUsed/>
    <w:rsid w:val="00A55CDA"/>
    <w:rPr>
      <w:color w:val="605E5C"/>
      <w:shd w:val="clear" w:color="auto" w:fill="E1DFDD"/>
    </w:rPr>
  </w:style>
  <w:style w:type="character" w:customStyle="1" w:styleId="UnresolvedMention4">
    <w:name w:val="Unresolved Mention4"/>
    <w:basedOn w:val="DefaultParagraphFont"/>
    <w:uiPriority w:val="99"/>
    <w:semiHidden/>
    <w:unhideWhenUsed/>
    <w:rsid w:val="00BC232A"/>
    <w:rPr>
      <w:color w:val="605E5C"/>
      <w:shd w:val="clear" w:color="auto" w:fill="E1DFDD"/>
    </w:rPr>
  </w:style>
  <w:style w:type="character" w:styleId="UnresolvedMention">
    <w:name w:val="Unresolved Mention"/>
    <w:basedOn w:val="DefaultParagraphFont"/>
    <w:uiPriority w:val="99"/>
    <w:semiHidden/>
    <w:unhideWhenUsed/>
    <w:rsid w:val="00DA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955">
      <w:bodyDiv w:val="1"/>
      <w:marLeft w:val="0"/>
      <w:marRight w:val="0"/>
      <w:marTop w:val="0"/>
      <w:marBottom w:val="0"/>
      <w:divBdr>
        <w:top w:val="none" w:sz="0" w:space="0" w:color="auto"/>
        <w:left w:val="none" w:sz="0" w:space="0" w:color="auto"/>
        <w:bottom w:val="none" w:sz="0" w:space="0" w:color="auto"/>
        <w:right w:val="none" w:sz="0" w:space="0" w:color="auto"/>
      </w:divBdr>
    </w:div>
    <w:div w:id="490294965">
      <w:bodyDiv w:val="1"/>
      <w:marLeft w:val="0"/>
      <w:marRight w:val="0"/>
      <w:marTop w:val="0"/>
      <w:marBottom w:val="0"/>
      <w:divBdr>
        <w:top w:val="none" w:sz="0" w:space="0" w:color="auto"/>
        <w:left w:val="none" w:sz="0" w:space="0" w:color="auto"/>
        <w:bottom w:val="none" w:sz="0" w:space="0" w:color="auto"/>
        <w:right w:val="none" w:sz="0" w:space="0" w:color="auto"/>
      </w:divBdr>
    </w:div>
    <w:div w:id="555164440">
      <w:bodyDiv w:val="1"/>
      <w:marLeft w:val="0"/>
      <w:marRight w:val="0"/>
      <w:marTop w:val="0"/>
      <w:marBottom w:val="0"/>
      <w:divBdr>
        <w:top w:val="none" w:sz="0" w:space="0" w:color="auto"/>
        <w:left w:val="none" w:sz="0" w:space="0" w:color="auto"/>
        <w:bottom w:val="none" w:sz="0" w:space="0" w:color="auto"/>
        <w:right w:val="none" w:sz="0" w:space="0" w:color="auto"/>
      </w:divBdr>
    </w:div>
    <w:div w:id="645548371">
      <w:bodyDiv w:val="1"/>
      <w:marLeft w:val="0"/>
      <w:marRight w:val="0"/>
      <w:marTop w:val="0"/>
      <w:marBottom w:val="0"/>
      <w:divBdr>
        <w:top w:val="none" w:sz="0" w:space="0" w:color="auto"/>
        <w:left w:val="none" w:sz="0" w:space="0" w:color="auto"/>
        <w:bottom w:val="none" w:sz="0" w:space="0" w:color="auto"/>
        <w:right w:val="none" w:sz="0" w:space="0" w:color="auto"/>
      </w:divBdr>
    </w:div>
    <w:div w:id="947465436">
      <w:bodyDiv w:val="1"/>
      <w:marLeft w:val="0"/>
      <w:marRight w:val="0"/>
      <w:marTop w:val="0"/>
      <w:marBottom w:val="0"/>
      <w:divBdr>
        <w:top w:val="none" w:sz="0" w:space="0" w:color="auto"/>
        <w:left w:val="none" w:sz="0" w:space="0" w:color="auto"/>
        <w:bottom w:val="none" w:sz="0" w:space="0" w:color="auto"/>
        <w:right w:val="none" w:sz="0" w:space="0" w:color="auto"/>
      </w:divBdr>
    </w:div>
    <w:div w:id="1414549040">
      <w:bodyDiv w:val="1"/>
      <w:marLeft w:val="0"/>
      <w:marRight w:val="0"/>
      <w:marTop w:val="0"/>
      <w:marBottom w:val="0"/>
      <w:divBdr>
        <w:top w:val="none" w:sz="0" w:space="0" w:color="auto"/>
        <w:left w:val="none" w:sz="0" w:space="0" w:color="auto"/>
        <w:bottom w:val="none" w:sz="0" w:space="0" w:color="auto"/>
        <w:right w:val="none" w:sz="0" w:space="0" w:color="auto"/>
      </w:divBdr>
    </w:div>
    <w:div w:id="1685521619">
      <w:bodyDiv w:val="1"/>
      <w:marLeft w:val="0"/>
      <w:marRight w:val="0"/>
      <w:marTop w:val="0"/>
      <w:marBottom w:val="0"/>
      <w:divBdr>
        <w:top w:val="none" w:sz="0" w:space="0" w:color="auto"/>
        <w:left w:val="none" w:sz="0" w:space="0" w:color="auto"/>
        <w:bottom w:val="none" w:sz="0" w:space="0" w:color="auto"/>
        <w:right w:val="none" w:sz="0" w:space="0" w:color="auto"/>
      </w:divBdr>
    </w:div>
    <w:div w:id="18823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kvc.lt/uploads/documents/files/Registruotiems_vartotojams/Leidiniai/Proceduros_be_dokumentu_aprasymas.pdf" TargetMode="External"/><Relationship Id="rId18" Type="http://schemas.openxmlformats.org/officeDocument/2006/relationships/hyperlink" Target="https://www.urm.lt/sankcij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rasmus-plius.lt/naujienos/svietimas/informacija-del-situacijos-ukraino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rm.lt/sankcijo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keliauk.urm.lt/naujienos?keyword=Rusija&amp;datefrom=&amp;dateto=&amp;cou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rasmus-plius.lt/naujienos/svietimas/planuojamas-paramos-priemoniu-paketas-ukrainieciam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rasmus-plius.lt/naujienos/svietimas/informacija-programos-erasmus-dalyviams/" TargetMode="External"/><Relationship Id="rId10" Type="http://schemas.openxmlformats.org/officeDocument/2006/relationships/hyperlink" Target="https://www.skvc.lt/uploads/documents/files/Registruotiems_vartotojams/Leidiniai/Proceduros_be_dokumentu_aprasymas.pdf" TargetMode="External"/><Relationship Id="rId19" Type="http://schemas.openxmlformats.org/officeDocument/2006/relationships/hyperlink" Target="https://keliauk.urm.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kvc.lt/default/lt/uzsienio-kvalifikaciju-pripazinimas/institucijoms/rekomendacijos" TargetMode="External"/><Relationship Id="rId22" Type="http://schemas.openxmlformats.org/officeDocument/2006/relationships/hyperlink" Target="https://erasmus-plius.lt/naujienos/svietimas/tolimesnes-gaires-del-situacijos-ukraino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292C-1A79-4D9D-AA32-C3E8E1CC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13554</Words>
  <Characters>7726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Kiškienė</dc:creator>
  <cp:keywords/>
  <dc:description/>
  <cp:lastModifiedBy>Greta Kiškienė</cp:lastModifiedBy>
  <cp:revision>3</cp:revision>
  <cp:lastPrinted>2022-04-15T09:52:00Z</cp:lastPrinted>
  <dcterms:created xsi:type="dcterms:W3CDTF">2022-07-26T09:53:00Z</dcterms:created>
  <dcterms:modified xsi:type="dcterms:W3CDTF">2022-07-26T09:55:00Z</dcterms:modified>
</cp:coreProperties>
</file>